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HMO AUDITOR ELITE</w:t>
      </w:r>
    </w:p>
    <w:p>
      <w:pPr>
        <w:pStyle w:val="Heading1"/>
      </w:pPr>
      <w:r>
        <w:t>Propuesta de Negocio y Estrategia de Crecimiento</w:t>
      </w:r>
    </w:p>
    <w:p>
      <w:pPr>
        <w:jc w:val="right"/>
      </w:pPr>
      <w:r>
        <w:rPr>
          <w:b/>
        </w:rPr>
        <w:t>Versión 1.3 - Edición Profesional</w:t>
      </w:r>
    </w:p>
    <w:p>
      <w:pPr>
        <w:pStyle w:val="Heading2"/>
      </w:pPr>
      <w:r>
        <w:t>1. Propuesta de Valor Única (UVP)</w:t>
      </w:r>
    </w:p>
    <w:p>
      <w:r>
        <w:t>HMO Auditor revoluciona el sector de la auditoría mediante la integración de Inteligencia Artificial (IA) operando 100% en local. Resolvemos el conflicto entre eficiencia y confidencialidad: los datos sensibles nunca salen de la infraestructura del cliente.</w:t>
      </w:r>
    </w:p>
    <w:p>
      <w:pPr>
        <w:pStyle w:val="Heading2"/>
      </w:pPr>
      <w:r>
        <w:t>2. Modelo de Negocio (Monetización)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Potencial</w:t>
            </w:r>
          </w:p>
        </w:tc>
      </w:tr>
      <w:tr>
        <w:tc>
          <w:tcPr>
            <w:tcW w:type="dxa" w:w="2880"/>
          </w:tcPr>
          <w:p>
            <w:r>
              <w:t>Licencia Anual</w:t>
            </w:r>
          </w:p>
        </w:tc>
        <w:tc>
          <w:tcPr>
            <w:tcW w:type="dxa" w:w="2880"/>
          </w:tcPr>
          <w:p>
            <w:r>
              <w:t>Venta por puesto de trabajo para firmas de auditoría.</w:t>
            </w:r>
          </w:p>
        </w:tc>
        <w:tc>
          <w:tcPr>
            <w:tcW w:type="dxa" w:w="2880"/>
          </w:tcPr>
          <w:p>
            <w:r>
              <w:t>Ingreso Recurrente</w:t>
            </w:r>
          </w:p>
        </w:tc>
      </w:tr>
      <w:tr>
        <w:tc>
          <w:tcPr>
            <w:tcW w:type="dxa" w:w="2880"/>
          </w:tcPr>
          <w:p>
            <w:r>
              <w:t>Consultoría RAG</w:t>
            </w:r>
          </w:p>
        </w:tc>
        <w:tc>
          <w:tcPr>
            <w:tcW w:type="dxa" w:w="2880"/>
          </w:tcPr>
          <w:p>
            <w:r>
              <w:t>Configuración de bases de conocimiento personalizadas.</w:t>
            </w:r>
          </w:p>
        </w:tc>
        <w:tc>
          <w:tcPr>
            <w:tcW w:type="dxa" w:w="2880"/>
          </w:tcPr>
          <w:p>
            <w:r>
              <w:t>Pago por Proyecto</w:t>
            </w:r>
          </w:p>
        </w:tc>
      </w:tr>
      <w:tr>
        <w:tc>
          <w:tcPr>
            <w:tcW w:type="dxa" w:w="2880"/>
          </w:tcPr>
          <w:p>
            <w:r>
              <w:t>Soporte Elite</w:t>
            </w:r>
          </w:p>
        </w:tc>
        <w:tc>
          <w:tcPr>
            <w:tcW w:type="dxa" w:w="2880"/>
          </w:tcPr>
          <w:p>
            <w:r>
              <w:t>Actualizaciones normativas periódicas (ISO/MEN).</w:t>
            </w:r>
          </w:p>
        </w:tc>
        <w:tc>
          <w:tcPr>
            <w:tcW w:type="dxa" w:w="2880"/>
          </w:tcPr>
          <w:p>
            <w:r>
              <w:t>Suscripción Mensual</w:t>
            </w:r>
          </w:p>
        </w:tc>
      </w:tr>
    </w:tbl>
    <w:p>
      <w:pPr>
        <w:pStyle w:val="Heading2"/>
      </w:pPr>
      <w:r>
        <w:t>3. Estrategia de Marketing e Innovación</w:t>
      </w:r>
    </w:p>
    <w:p>
      <w:r>
        <w:t>Nuestra estrategia se centra en el 'Océano Azul' de la privacidad. Atacamos el sector académico (Registro Calificado) y el corporativo (ISO) posicionándonos como la única alternativa que ofrece IA sin riesgo de fuga de datos.</w:t>
      </w:r>
    </w:p>
    <w:p>
      <w:r>
        <w:t>- Focus: Instituciones Educativas y Firmas de Auditoría ISO.</w:t>
      </w:r>
    </w:p>
    <w:p>
      <w:r>
        <w:t>- Canal: LinkedIn Thought Leadership y Alianzas con Certificadoras.</w:t>
      </w:r>
    </w:p>
    <w:p>
      <w:pPr>
        <w:pStyle w:val="Heading2"/>
      </w:pPr>
      <w:r>
        <w:t>4. Opinión Estratégica y Futuro</w:t>
      </w:r>
    </w:p>
    <w:p>
      <w:r>
        <w:t>El ecosistema HMO Auditor está listo para escalar. La V2.0 incluirá Visión Artificial y certificación de integridad vía Blockchain, posicionando el producto al 1000% de su capacidad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