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MATRIZ DE FUENTES Y VERACIDAD NORMATIVA</w:t>
      </w:r>
    </w:p>
    <w:p>
      <w:pPr>
        <w:pStyle w:val="Heading1"/>
      </w:pPr>
      <w:r>
        <w:t>HMO Auditor Elite - Root of Trust</w:t>
      </w:r>
    </w:p>
    <w:p>
      <w:pPr>
        <w:pStyle w:val="Heading2"/>
      </w:pPr>
      <w:r>
        <w:t>1. Fuentes Oficiales de Conocimiento</w:t>
      </w:r>
    </w:p>
    <w:p>
      <w:r>
        <w:t>La base de conocimiento del sistema se sustenta en fuentes públicas y estándares internacionales para garantizar la validez del análisis de auditoría.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Sistema</w:t>
            </w:r>
          </w:p>
        </w:tc>
        <w:tc>
          <w:tcPr>
            <w:tcW w:type="dxa" w:w="2880"/>
          </w:tcPr>
          <w:p>
            <w:r>
              <w:t>Referencia Principal</w:t>
            </w:r>
          </w:p>
        </w:tc>
        <w:tc>
          <w:tcPr>
            <w:tcW w:type="dxa" w:w="2880"/>
          </w:tcPr>
          <w:p>
            <w:r>
              <w:t>Origen</w:t>
            </w:r>
          </w:p>
        </w:tc>
      </w:tr>
      <w:tr>
        <w:tc>
          <w:tcPr>
            <w:tcW w:type="dxa" w:w="2880"/>
          </w:tcPr>
          <w:p>
            <w:r>
              <w:t>SGC</w:t>
            </w:r>
          </w:p>
        </w:tc>
        <w:tc>
          <w:tcPr>
            <w:tcW w:type="dxa" w:w="2880"/>
          </w:tcPr>
          <w:p>
            <w:r>
              <w:t>ISO 9001:2015</w:t>
            </w:r>
          </w:p>
        </w:tc>
        <w:tc>
          <w:tcPr>
            <w:tcW w:type="dxa" w:w="2880"/>
          </w:tcPr>
          <w:p>
            <w:r>
              <w:t>Estándar Internacional</w:t>
            </w:r>
          </w:p>
        </w:tc>
      </w:tr>
      <w:tr>
        <w:tc>
          <w:tcPr>
            <w:tcW w:type="dxa" w:w="2880"/>
          </w:tcPr>
          <w:p>
            <w:r>
              <w:t>SGSI</w:t>
            </w:r>
          </w:p>
        </w:tc>
        <w:tc>
          <w:tcPr>
            <w:tcW w:type="dxa" w:w="2880"/>
          </w:tcPr>
          <w:p>
            <w:r>
              <w:t>ISO 27001:2022</w:t>
            </w:r>
          </w:p>
        </w:tc>
        <w:tc>
          <w:tcPr>
            <w:tcW w:type="dxa" w:w="2880"/>
          </w:tcPr>
          <w:p>
            <w:r>
              <w:t>Estándar Internacional</w:t>
            </w:r>
          </w:p>
        </w:tc>
      </w:tr>
      <w:tr>
        <w:tc>
          <w:tcPr>
            <w:tcW w:type="dxa" w:w="2880"/>
          </w:tcPr>
          <w:p>
            <w:r>
              <w:t>Académico</w:t>
            </w:r>
          </w:p>
        </w:tc>
        <w:tc>
          <w:tcPr>
            <w:tcW w:type="dxa" w:w="2880"/>
          </w:tcPr>
          <w:p>
            <w:r>
              <w:t>Ley 115 / Dec. 1330</w:t>
            </w:r>
          </w:p>
        </w:tc>
        <w:tc>
          <w:tcPr>
            <w:tcW w:type="dxa" w:w="2880"/>
          </w:tcPr>
          <w:p>
            <w:r>
              <w:t>MEN Colombia</w:t>
            </w:r>
          </w:p>
        </w:tc>
      </w:tr>
      <w:tr>
        <w:tc>
          <w:tcPr>
            <w:tcW w:type="dxa" w:w="2880"/>
          </w:tcPr>
          <w:p>
            <w:r>
              <w:t>Auditoría</w:t>
            </w:r>
          </w:p>
        </w:tc>
        <w:tc>
          <w:tcPr>
            <w:tcW w:type="dxa" w:w="2880"/>
          </w:tcPr>
          <w:p>
            <w:r>
              <w:t>ISO 19011:2018</w:t>
            </w:r>
          </w:p>
        </w:tc>
        <w:tc>
          <w:tcPr>
            <w:tcW w:type="dxa" w:w="2880"/>
          </w:tcPr>
          <w:p>
            <w:r>
              <w:t>Directrices Internacionales</w:t>
            </w:r>
          </w:p>
        </w:tc>
      </w:tr>
    </w:tbl>
    <w:p>
      <w:pPr>
        <w:pStyle w:val="Heading2"/>
      </w:pPr>
      <w:r>
        <w:t>2. Protocolo de No Alucinación (RAG)</w:t>
      </w:r>
    </w:p>
    <w:p>
      <w:r>
        <w:t>El motor RAG prioriza los fragmentos de los documentos cargados sobre el conocimiento general del LLM, asegurando que cada sugerencia tenga una cita normativa exacta.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