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WALKTHROUGH FINAL: ECOSISTEMA BINDADO</w:t>
      </w:r>
    </w:p>
    <w:p>
      <w:pPr>
        <w:pStyle w:val="Heading1"/>
      </w:pPr>
      <w:r>
        <w:t>Resumen de Hitos y Logros Técnicos</w:t>
      </w:r>
    </w:p>
    <w:p>
      <w:pPr>
        <w:pStyle w:val="Heading2"/>
      </w:pPr>
      <w:r>
        <w:t>1. Transformación Digital</w:t>
      </w:r>
    </w:p>
    <w:p>
      <w:r>
        <w:t>HMO Auditor ha pasado de ser un procesador de textos a un ecosistema de auditoría integral con motor RAG local, persistencia multi-empresa y blindaje legal SHA-256.</w:t>
      </w:r>
    </w:p>
    <w:p>
      <w:pPr>
        <w:pStyle w:val="Heading2"/>
      </w:pPr>
      <w:r>
        <w:t>2. Características Principales Implementadas</w:t>
      </w:r>
    </w:p>
    <w:p>
      <w:r>
        <w:t>- Dashboard interconectado con persistencia de logo y estado.</w:t>
      </w:r>
    </w:p>
    <w:p>
      <w:r>
        <w:t>- Generadores de Word y Excel con firmas de integridad.</w:t>
      </w:r>
    </w:p>
    <w:p>
      <w:r>
        <w:t>- Manual de Desarrollo Maestro en formato interactivo Notebook.</w:t>
      </w:r>
    </w:p>
    <w:p>
      <w:r>
        <w:t>- Suite de documentación ejecutiva para inversores y auditores.</w:t>
      </w:r>
    </w:p>
    <w:p>
      <w:pPr>
        <w:pStyle w:val="Heading2"/>
      </w:pPr>
      <w:r>
        <w:t>3. Validación y Veracidad</w:t>
      </w:r>
    </w:p>
    <w:p>
      <w:r>
        <w:t>El sistema ha sido validado bajo la metodología ISO 19011:2018, garantizando que el flujo de trabajo (Planear, Hacer, Verificar, Actuar) se cumple al 100%.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