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MISIÓN CORPORATIVA V2.0</w:t>
      </w:r>
    </w:p>
    <w:p>
      <w:pPr>
        <w:pStyle w:val="Heading1"/>
      </w:pPr>
      <w:r>
        <w:rPr>
          <w:color w:val="00C2FF"/>
        </w:rPr>
        <w:t>DECLARACIÓN DE MISIÓN</w:t>
      </w:r>
    </w:p>
    <w:p>
      <w:pPr>
        <w:jc w:val="both"/>
      </w:pPr>
      <w:r>
        <w:t>Innovatech Solutions SAS tiene como misión fundamental el diseño, desarrollo y manufactura de ecosistemas tecnológicos de alta precisión, integrando Inteligencia Artificial Nativa y hardware de procesamiento distribuido. Nos enfocamos en proveer a la industria manufacturera y de servicios herramientas de auditoría y control de calidad que eliminen el error humano, optimizando la cadena de valor mediante la digitalización absoluta y la veracidad de los datos en tiempo real. Cada solución entregada es el resultado de un riguroso proceso de ingeniería que garantiza la soberanía tecnológica de nuestros clientes.</w:t>
      </w:r>
    </w:p>
    <w:p>
      <w:pPr>
        <w:pStyle w:val="ListBullet"/>
      </w:pPr>
      <w:r>
        <w:t>Detalles Técnicos y Justificación:</w:t>
      </w:r>
    </w:p>
    <w:p>
      <w:pPr>
        <w:pStyle w:val="ListBullet"/>
      </w:pPr>
      <w:r>
        <w:t>Este componente de declaración de misión se fundamenta en los pilares de la Industria 4.0, integrando protocolos de seguridad redundantes y una arquitectura de datos optimizada para el Motor de Reconocimiento del sistema HMO.</w:t>
      </w:r>
    </w:p>
    <w:p>
      <w:pPr>
        <w:pStyle w:val="Heading1"/>
      </w:pPr>
      <w:r>
        <w:rPr>
          <w:color w:val="00C2FF"/>
        </w:rPr>
        <w:t>FUNDAMENTOS OPERATIVOS</w:t>
      </w:r>
    </w:p>
    <w:p>
      <w:pPr>
        <w:jc w:val="both"/>
      </w:pPr>
      <w:r>
        <w:t>Operamos bajo un modelo de excelencia técnica donde la innovación no es una opción, sino el motor de nuestra existencia. Nuestra misión se materializa en la reducción sistemática de costos operativos para nuestros aliados mediante la implementación de algoritmos de predicción y sistemas de control in situ que operan 24/7 con integridad certificada.</w:t>
      </w:r>
    </w:p>
    <w:p>
      <w:pPr>
        <w:pStyle w:val="ListBullet"/>
      </w:pPr>
      <w:r>
        <w:t>Detalles Técnicos y Justificación:</w:t>
      </w:r>
    </w:p>
    <w:p>
      <w:pPr>
        <w:pStyle w:val="ListBullet"/>
      </w:pPr>
      <w:r>
        <w:t>Este componente de fundamentos operativos se fundamenta en los pilares de la Industria 4.0, integrando protocolos de seguridad redundantes y una arquitectura de datos optimizada para el Motor de Reconocimiento del sistema HMO.</w:t>
      </w:r>
    </w:p>
    <w:p>
      <w:pPr>
        <w:pStyle w:val="Heading1"/>
      </w:pPr>
      <w:r>
        <w:rPr>
          <w:color w:val="00C2FF"/>
        </w:rPr>
        <w:t>VISIÓN COMPROMETIDA</w:t>
      </w:r>
    </w:p>
    <w:p>
      <w:pPr>
        <w:jc w:val="both"/>
      </w:pPr>
      <w:r>
        <w:t>Buscamos ser el socio estratégico indispensable para cualquier organización que aspire a la excelencia normativa, convirtiendo la complejidad de los marcos legales en rutas claras de ejecución digital.</w:t>
      </w:r>
    </w:p>
    <w:p>
      <w:pPr>
        <w:pStyle w:val="ListBullet"/>
      </w:pPr>
      <w:r>
        <w:t>Detalles Técnicos y Justificación:</w:t>
      </w:r>
    </w:p>
    <w:p>
      <w:pPr>
        <w:pStyle w:val="ListBullet"/>
      </w:pPr>
      <w:r>
        <w:t>Este componente de visión comprometida se fundamenta en los pilares de la Industria 4.0, integrando protocolos de seguridad redundantes y una arquitectura de datos optimizada para el Motor de Reconocimiento del sistema HMO.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320"/>
      <w:gridCol w:w="4320"/>
    </w:tblGrid>
    <w:tr>
      <w:tc>
        <w:tcPr>
          <w:tcW w:type="dxa" w:w="4320"/>
        </w:tcPr>
        <w:p>
          <w:r>
            <w:t>HMO AUDITOR - ELITE EDITION</w:t>
          </w:r>
        </w:p>
      </w:tc>
      <w:tc>
        <w:tcPr>
          <w:tcW w:type="dxa" w:w="4320"/>
        </w:tcPr>
        <w:p>
          <w:pPr>
            <w:jc w:val="right"/>
          </w:pPr>
          <w:r>
            <w:t>REF: 01_Mision_Corporativa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