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VISIÓN CORPORATIVA V2.0</w:t>
      </w:r>
    </w:p>
    <w:p>
      <w:pPr>
        <w:pStyle w:val="Heading1"/>
      </w:pPr>
      <w:r>
        <w:rPr>
          <w:color w:val="00C2FF"/>
        </w:rPr>
        <w:t>VISIÓN ESTRATÉGICA 2030</w:t>
      </w:r>
    </w:p>
    <w:p>
      <w:pPr>
        <w:jc w:val="both"/>
      </w:pPr>
      <w:r>
        <w:t>Para el año 2030, Innovatech Solutions SAS será reconocida como la empresa líder en Latinoamérica en el desarrollo de Gemelos Digitales y sistemas de Auditoría Inteligente. Aspirasmos a consolidar una red de infraestructuras tecnológicas soberanas que permitan a los gobiernos y empresas privadas operar con niveles de transparencia y eficiencia del 99.9%. Nuestra visión incluye la expansión a 15 países, liderando la transición hacia la Industria 5.0 donde el talento humano y la tecnología disruptiva conviven en armonía perfecta para el beneficio social.</w:t>
      </w:r>
    </w:p>
    <w:p>
      <w:pPr>
        <w:pStyle w:val="ListBullet"/>
      </w:pPr>
      <w:r>
        <w:t>Detalles Técnicos y Justificación:</w:t>
      </w:r>
    </w:p>
    <w:p>
      <w:pPr>
        <w:pStyle w:val="ListBullet"/>
      </w:pPr>
      <w:r>
        <w:t>Este componente de visión estratégica 2030 se fundamenta en los pilares de la Industria 4.0, integrando protocolos de seguridad redundantes y una arquitectura de datos optimizada para el Motor de Reconocimiento del sistema HMO.</w:t>
      </w:r>
    </w:p>
    <w:p>
      <w:pPr>
        <w:pStyle w:val="Heading1"/>
      </w:pPr>
      <w:r>
        <w:rPr>
          <w:color w:val="00C2FF"/>
        </w:rPr>
        <w:t>METAS DE ALTO IMPACTO</w:t>
      </w:r>
    </w:p>
    <w:p>
      <w:pPr>
        <w:jc w:val="both"/>
      </w:pPr>
      <w:r>
        <w:t xml:space="preserve">1. Internacionalización de la suite HMO Auditor en mercados europeos y asiáticos. </w:t>
        <w:br/>
        <w:t xml:space="preserve">2. Desarrollo del primer microprocesador de arquitectura abierta para seguridad industrial en la región. </w:t>
        <w:br/>
        <w:t>3. Carbono Neutralidad absoluta mediante el uso de hardware de bajo consumo y centros de datos biosostenibles.</w:t>
      </w:r>
    </w:p>
    <w:p>
      <w:pPr>
        <w:pStyle w:val="ListBullet"/>
      </w:pPr>
      <w:r>
        <w:t>Detalles Técnicos y Justificación:</w:t>
      </w:r>
    </w:p>
    <w:p>
      <w:pPr>
        <w:pStyle w:val="ListBullet"/>
      </w:pPr>
      <w:r>
        <w:t>Este componente de metas de alto impacto se fundamenta en los pilares de la Industria 4.0, integrando protocolos de seguridad redundantes y una arquitectura de datos optimizada para el Motor de Reconocimiento del sistema HMO.</w:t>
      </w:r>
    </w:p>
    <w:p>
      <w:pPr>
        <w:pStyle w:val="Heading1"/>
      </w:pPr>
      <w:r>
        <w:rPr>
          <w:color w:val="00C2FF"/>
        </w:rPr>
        <w:t>POSICIONAMIENTO GLOBAL</w:t>
      </w:r>
    </w:p>
    <w:p>
      <w:pPr>
        <w:jc w:val="both"/>
      </w:pPr>
      <w:r>
        <w:t>Innovatech no solo vende productos, construye el futuro de la confianza digital a través de la superioridad técnica y el rigor ético innegociable.</w:t>
      </w:r>
    </w:p>
    <w:p>
      <w:pPr>
        <w:pStyle w:val="ListBullet"/>
      </w:pPr>
      <w:r>
        <w:t>Detalles Técnicos y Justificación:</w:t>
      </w:r>
    </w:p>
    <w:p>
      <w:pPr>
        <w:pStyle w:val="ListBullet"/>
      </w:pPr>
      <w:r>
        <w:t>Este componente de posicionamiento global se fundamenta en los pilares de la Industria 4.0, integrando protocolos de seguridad redundantes y una arquitectura de datos optimizada para el Motor de Reconocimiento del sistema HMO.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HMO AUDITOR - ELITE EDITION</w:t>
          </w:r>
        </w:p>
      </w:tc>
      <w:tc>
        <w:tcPr>
          <w:tcW w:type="dxa" w:w="4320"/>
        </w:tcPr>
        <w:p>
          <w:pPr>
            <w:jc w:val="right"/>
          </w:pPr>
          <w:r>
            <w:t>REF: 02_Vision_Corporativa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