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SOP: Despliegue de Tecnología Disruptiva</w:t>
      </w:r>
    </w:p>
    <w:p>
      <w:pPr>
        <w:pStyle w:val="Heading1"/>
      </w:pPr>
      <w:r>
        <w:rPr>
          <w:color w:val="002060"/>
        </w:rPr>
        <w:t>CICLO DE VIDA DEL SOFTWARE (SDLC)</w:t>
      </w:r>
    </w:p>
    <w:p>
      <w:pPr>
        <w:jc w:val="both"/>
      </w:pPr>
      <w:r>
        <w:t>Innovatech opera bajo un modelo DevOps-Security donde la integración y entrega continua (CI/CD) se encuentran protegidas por agentes de auditoría automatizados. El flujo inicia con el requerimiento del cliente, pasa por el diseño de arquitectura, codificación, pruebas unitarias automatizadas y finalmente el despliegue en contenedores orquestados.</w:t>
      </w:r>
    </w:p>
    <w:p>
      <w:pPr>
        <w:pStyle w:val="Heading1"/>
      </w:pPr>
      <w:r>
        <w:rPr>
          <w:color w:val="002060"/>
        </w:rPr>
        <w:t>MANUFACTURA DE HARDWARE</w:t>
      </w:r>
    </w:p>
    <w:p>
      <w:pPr>
        <w:jc w:val="both"/>
      </w:pPr>
      <w:r>
        <w:t>Nuestra línea de producción de placas base y sensores utiliza soldadura robótica de precisión y cámaras de inspección AOI (Automated Optical Inspection). Cada unidad producida recibe un 'Gemelo Digital' para el seguimiento de su rendimiento en tiempo real una vez instalada en el cliente.</w:t>
      </w:r>
    </w:p>
    <w:p>
      <w:pPr>
        <w:pStyle w:val="Heading1"/>
      </w:pPr>
      <w:r>
        <w:rPr>
          <w:color w:val="002060"/>
        </w:rPr>
        <w:t>PROTOCOLOS DE SEGURIDAD</w:t>
      </w:r>
    </w:p>
    <w:p>
      <w:pPr>
        <w:jc w:val="both"/>
      </w:pPr>
      <w:r>
        <w:t>El acceso a los laboratorios de producción y al código fuente requiere autenticación biométrica y es monitoreado por cámaras de circuito cerrado con análisis de comportamiento.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