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MATRIZ DE RESPONSABILIDADES Y LIDERAZGO</w:t>
      </w:r>
    </w:p>
    <w:p>
      <w:pPr>
        <w:pStyle w:val="Heading1"/>
      </w:pPr>
      <w:r>
        <w:rPr>
          <w:color w:val="002060"/>
        </w:rPr>
        <w:t>ESTRUCTURA DE GOBERNANZA</w:t>
      </w:r>
    </w:p>
    <w:p>
      <w:pPr>
        <w:jc w:val="both"/>
      </w:pPr>
      <w:r>
        <w:t>Para efectos de la auditoría HMO Elite, se definen los siguientes responsables de área con autoridad sobre el expediente documental:</w:t>
      </w:r>
    </w:p>
    <w:p>
      <w:pPr>
        <w:pStyle w:val="Heading1"/>
      </w:pPr>
      <w:r>
        <w:rPr>
          <w:color w:val="002060"/>
        </w:rPr>
        <w:t>DIRECCIÓN GENERAL Y ESTRATEGIA</w:t>
      </w:r>
    </w:p>
    <w:p>
      <w:pPr>
        <w:jc w:val="both"/>
      </w:pPr>
      <w:r>
        <w:t>Responsable: Ing. Carlos Martínez Serna (CEO)</w:t>
        <w:br/>
        <w:t>Alcance: Aprobación de presupuestos y visión estratégica.</w:t>
      </w:r>
    </w:p>
    <w:p>
      <w:pPr>
        <w:pStyle w:val="Heading1"/>
      </w:pPr>
      <w:r>
        <w:rPr>
          <w:color w:val="002060"/>
        </w:rPr>
        <w:t>GESTIÓN DE CALIDAD Y NORMATIVIDAD</w:t>
      </w:r>
    </w:p>
    <w:p>
      <w:pPr>
        <w:jc w:val="both"/>
      </w:pPr>
      <w:r>
        <w:t>Responsable: Dra. Laura Giraldo Espitia (Directora de Calidad)</w:t>
        <w:br/>
        <w:t>Alcance: Integridad del Manual de Calidad y cumplimiento ISO 9001/27001.</w:t>
      </w:r>
    </w:p>
    <w:p>
      <w:pPr>
        <w:pStyle w:val="Heading1"/>
      </w:pPr>
      <w:r>
        <w:rPr>
          <w:color w:val="002060"/>
        </w:rPr>
        <w:t>OPERACIONES Y MANUFACTURA</w:t>
      </w:r>
    </w:p>
    <w:p>
      <w:pPr>
        <w:jc w:val="both"/>
      </w:pPr>
      <w:r>
        <w:t>Responsable: Ing. Carlos Martínez (Acting Ops Manager)</w:t>
        <w:br/>
        <w:t>Alcance: Supervisión de líneas de producción y desarrollo de software.</w:t>
      </w:r>
    </w:p>
    <w:p>
      <w:pPr>
        <w:pStyle w:val="Heading1"/>
      </w:pPr>
      <w:r>
        <w:rPr>
          <w:color w:val="002060"/>
        </w:rPr>
        <w:t>TALENTO HUMANO Y CULTURA</w:t>
      </w:r>
    </w:p>
    <w:p>
      <w:pPr>
        <w:jc w:val="both"/>
      </w:pPr>
      <w:r>
        <w:t>Responsable: Lic. Roberto Gómez (Gerente de Talento)</w:t>
        <w:br/>
        <w:t>Alcance: Manual de funciones y competencias del personal auditado.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4320"/>
        </w:tcPr>
        <w:p>
          <w:r>
            <w:t>REPÚBLICA DE COLOMBIA - SISTEMA DE REGISTRO</w:t>
          </w:r>
        </w:p>
      </w:tc>
      <w:tc>
        <w:tcPr>
          <w:tcW w:type="dxa" w:w="4320"/>
        </w:tcPr>
        <w:p>
          <w:pPr>
            <w:jc w:val="right"/>
          </w:pPr>
          <w:r>
            <w:t>DOCUMENTO: 06_Matriz_Responsables_Area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