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DF46895" w14:textId="6B0CFB5F" w:rsidR="000324F9" w:rsidRPr="000324F9" w:rsidRDefault="000324F9" w:rsidP="000324F9">
      <w:pPr>
        <w:spacing w:before="300" w:after="300" w:line="240" w:lineRule="auto"/>
        <w:rPr>
          <w:rFonts w:ascii="Arial" w:eastAsia="Times New Roman" w:hAnsi="Arial" w:cs="Arial"/>
          <w:color w:val="000000"/>
          <w:kern w:val="0"/>
          <w:sz w:val="23"/>
          <w:szCs w:val="23"/>
          <w14:ligatures w14:val="none"/>
        </w:rPr>
      </w:pPr>
      <w:r>
        <w:rPr>
          <w:rFonts w:ascii="Arial" w:eastAsia="Times New Roman" w:hAnsi="Arial" w:cs="Arial"/>
          <w:color w:val="000000"/>
          <w:kern w:val="0"/>
          <w:sz w:val="23"/>
          <w:szCs w:val="23"/>
          <w14:ligatures w14:val="none"/>
        </w:rPr>
        <w:t>STANDARD GAUNTLET</w:t>
      </w:r>
      <w:r w:rsidR="002A78B0">
        <w:pict w14:anchorId="5600622A">
          <v:rect id="Horizontal Line 1" o:spid="_x0000_s1026"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45CEE7A" w14:textId="77777777" w:rsidR="000324F9" w:rsidRPr="000324F9" w:rsidRDefault="000324F9" w:rsidP="000324F9">
      <w:pPr>
        <w:spacing w:after="150" w:line="240" w:lineRule="auto"/>
        <w:rPr>
          <w:rFonts w:ascii="Arial" w:eastAsia="Times New Roman" w:hAnsi="Arial" w:cs="Arial"/>
          <w:color w:val="000000"/>
          <w:kern w:val="0"/>
          <w:sz w:val="23"/>
          <w:szCs w:val="23"/>
          <w14:ligatures w14:val="none"/>
        </w:rPr>
      </w:pPr>
      <w:r w:rsidRPr="000324F9">
        <w:rPr>
          <w:rFonts w:ascii="Open Sans" w:eastAsia="Times New Roman" w:hAnsi="Open Sans" w:cs="Open Sans"/>
          <w:b/>
          <w:bCs/>
          <w:color w:val="000000"/>
          <w:kern w:val="0"/>
          <w14:ligatures w14:val="none"/>
        </w:rPr>
        <w:t>Clinical Indications</w:t>
      </w:r>
    </w:p>
    <w:p w14:paraId="7AFAEA1A" w14:textId="77777777" w:rsidR="00E60141" w:rsidRPr="000324F9" w:rsidRDefault="00E60141" w:rsidP="00E60141">
      <w:pPr>
        <w:numPr>
          <w:ilvl w:val="0"/>
          <w:numId w:val="1"/>
        </w:numPr>
        <w:spacing w:before="100" w:beforeAutospacing="1" w:after="100" w:afterAutospacing="1" w:line="240" w:lineRule="auto"/>
        <w:rPr>
          <w:rFonts w:ascii="Arial" w:eastAsia="Times New Roman" w:hAnsi="Arial" w:cs="Arial"/>
          <w:color w:val="000000"/>
          <w:kern w:val="0"/>
          <w:sz w:val="23"/>
          <w:szCs w:val="23"/>
          <w14:ligatures w14:val="none"/>
        </w:rPr>
      </w:pPr>
      <w:r w:rsidRPr="000324F9">
        <w:rPr>
          <w:rFonts w:ascii="Open Sans" w:eastAsia="Times New Roman" w:hAnsi="Open Sans" w:cs="Open Sans"/>
          <w:color w:val="000000"/>
          <w:kern w:val="0"/>
          <w14:ligatures w14:val="none"/>
        </w:rPr>
        <w:t>PTTD (Posterior Tibial Tendon Dysfunction)</w:t>
      </w:r>
    </w:p>
    <w:p w14:paraId="06F3D332" w14:textId="77777777" w:rsidR="00E60141" w:rsidRPr="000324F9" w:rsidRDefault="00E60141" w:rsidP="00E60141">
      <w:pPr>
        <w:numPr>
          <w:ilvl w:val="0"/>
          <w:numId w:val="1"/>
        </w:numPr>
        <w:spacing w:before="100" w:beforeAutospacing="1" w:after="100" w:afterAutospacing="1" w:line="240" w:lineRule="auto"/>
        <w:rPr>
          <w:rFonts w:ascii="Arial" w:eastAsia="Times New Roman" w:hAnsi="Arial" w:cs="Arial"/>
          <w:color w:val="000000"/>
          <w:kern w:val="0"/>
          <w:sz w:val="23"/>
          <w:szCs w:val="23"/>
          <w14:ligatures w14:val="none"/>
        </w:rPr>
      </w:pPr>
      <w:r w:rsidRPr="000324F9">
        <w:rPr>
          <w:rFonts w:ascii="Open Sans" w:eastAsia="Times New Roman" w:hAnsi="Open Sans" w:cs="Open Sans"/>
          <w:color w:val="000000"/>
          <w:kern w:val="0"/>
          <w14:ligatures w14:val="none"/>
        </w:rPr>
        <w:t>Talocalcaneal varus or valgus</w:t>
      </w:r>
    </w:p>
    <w:p w14:paraId="52F9E048" w14:textId="77777777" w:rsidR="00E60141" w:rsidRPr="000324F9" w:rsidRDefault="00E60141" w:rsidP="00E60141">
      <w:pPr>
        <w:numPr>
          <w:ilvl w:val="0"/>
          <w:numId w:val="1"/>
        </w:numPr>
        <w:spacing w:before="100" w:beforeAutospacing="1" w:after="100" w:afterAutospacing="1" w:line="240" w:lineRule="auto"/>
        <w:rPr>
          <w:rFonts w:ascii="Arial" w:eastAsia="Times New Roman" w:hAnsi="Arial" w:cs="Arial"/>
          <w:color w:val="000000"/>
          <w:kern w:val="0"/>
          <w:sz w:val="23"/>
          <w:szCs w:val="23"/>
          <w14:ligatures w14:val="none"/>
        </w:rPr>
      </w:pPr>
      <w:r w:rsidRPr="000324F9">
        <w:rPr>
          <w:rFonts w:ascii="Open Sans" w:eastAsia="Times New Roman" w:hAnsi="Open Sans" w:cs="Open Sans"/>
          <w:color w:val="000000"/>
          <w:kern w:val="0"/>
          <w14:ligatures w14:val="none"/>
        </w:rPr>
        <w:t>Tibialis tendonitis (posterior or anterior)</w:t>
      </w:r>
    </w:p>
    <w:p w14:paraId="571E100F" w14:textId="77777777" w:rsidR="00E60141" w:rsidRPr="000324F9" w:rsidRDefault="00E60141" w:rsidP="00E60141">
      <w:pPr>
        <w:numPr>
          <w:ilvl w:val="0"/>
          <w:numId w:val="1"/>
        </w:numPr>
        <w:spacing w:before="100" w:beforeAutospacing="1" w:after="100" w:afterAutospacing="1" w:line="240" w:lineRule="auto"/>
        <w:rPr>
          <w:rFonts w:ascii="Arial" w:eastAsia="Times New Roman" w:hAnsi="Arial" w:cs="Arial"/>
          <w:color w:val="000000"/>
          <w:kern w:val="0"/>
          <w:sz w:val="23"/>
          <w:szCs w:val="23"/>
          <w14:ligatures w14:val="none"/>
        </w:rPr>
      </w:pPr>
      <w:r w:rsidRPr="000324F9">
        <w:rPr>
          <w:rFonts w:ascii="Open Sans" w:eastAsia="Times New Roman" w:hAnsi="Open Sans" w:cs="Open Sans"/>
          <w:color w:val="000000"/>
          <w:kern w:val="0"/>
          <w14:ligatures w14:val="none"/>
        </w:rPr>
        <w:t>Severe pronation or pes planus</w:t>
      </w:r>
    </w:p>
    <w:p w14:paraId="375AEA7D" w14:textId="77777777" w:rsidR="00E60141" w:rsidRPr="000324F9" w:rsidRDefault="00E60141" w:rsidP="00E60141">
      <w:pPr>
        <w:numPr>
          <w:ilvl w:val="0"/>
          <w:numId w:val="1"/>
        </w:numPr>
        <w:spacing w:before="100" w:beforeAutospacing="1" w:after="100" w:afterAutospacing="1" w:line="240" w:lineRule="auto"/>
        <w:rPr>
          <w:rFonts w:ascii="Arial" w:eastAsia="Times New Roman" w:hAnsi="Arial" w:cs="Arial"/>
          <w:color w:val="000000"/>
          <w:kern w:val="0"/>
          <w:sz w:val="23"/>
          <w:szCs w:val="23"/>
          <w14:ligatures w14:val="none"/>
        </w:rPr>
      </w:pPr>
      <w:r w:rsidRPr="000324F9">
        <w:rPr>
          <w:rFonts w:ascii="Open Sans" w:eastAsia="Times New Roman" w:hAnsi="Open Sans" w:cs="Open Sans"/>
          <w:color w:val="000000"/>
          <w:kern w:val="0"/>
          <w14:ligatures w14:val="none"/>
        </w:rPr>
        <w:t>Ankle arthritis or DJD (Degenerative Joint Disease)</w:t>
      </w:r>
    </w:p>
    <w:p w14:paraId="35E28B7D" w14:textId="77777777" w:rsidR="00E60141" w:rsidRPr="000324F9" w:rsidRDefault="00E60141" w:rsidP="00E60141">
      <w:pPr>
        <w:numPr>
          <w:ilvl w:val="0"/>
          <w:numId w:val="1"/>
        </w:numPr>
        <w:spacing w:before="100" w:beforeAutospacing="1" w:after="100" w:afterAutospacing="1" w:line="240" w:lineRule="auto"/>
        <w:rPr>
          <w:rFonts w:ascii="Arial" w:eastAsia="Times New Roman" w:hAnsi="Arial" w:cs="Arial"/>
          <w:color w:val="000000"/>
          <w:kern w:val="0"/>
          <w:sz w:val="23"/>
          <w:szCs w:val="23"/>
          <w14:ligatures w14:val="none"/>
        </w:rPr>
      </w:pPr>
      <w:r w:rsidRPr="000324F9">
        <w:rPr>
          <w:rFonts w:ascii="Open Sans" w:eastAsia="Times New Roman" w:hAnsi="Open Sans" w:cs="Open Sans"/>
          <w:color w:val="000000"/>
          <w:kern w:val="0"/>
          <w14:ligatures w14:val="none"/>
        </w:rPr>
        <w:t>Charcot foot</w:t>
      </w:r>
    </w:p>
    <w:p w14:paraId="4F0DF83A" w14:textId="77777777" w:rsidR="00E60141" w:rsidRPr="000324F9" w:rsidRDefault="00E60141" w:rsidP="00E60141">
      <w:pPr>
        <w:numPr>
          <w:ilvl w:val="0"/>
          <w:numId w:val="1"/>
        </w:numPr>
        <w:spacing w:before="100" w:beforeAutospacing="1" w:after="100" w:afterAutospacing="1" w:line="240" w:lineRule="auto"/>
        <w:rPr>
          <w:rFonts w:ascii="Arial" w:eastAsia="Times New Roman" w:hAnsi="Arial" w:cs="Arial"/>
          <w:color w:val="000000"/>
          <w:kern w:val="0"/>
          <w:sz w:val="23"/>
          <w:szCs w:val="23"/>
          <w14:ligatures w14:val="none"/>
        </w:rPr>
      </w:pPr>
      <w:r w:rsidRPr="000324F9">
        <w:rPr>
          <w:rFonts w:ascii="Open Sans" w:eastAsia="Times New Roman" w:hAnsi="Open Sans" w:cs="Open Sans"/>
          <w:color w:val="000000"/>
          <w:kern w:val="0"/>
          <w14:ligatures w14:val="none"/>
        </w:rPr>
        <w:t>Ankle, subtalar, or midtarsal trauma</w:t>
      </w:r>
    </w:p>
    <w:p w14:paraId="500C6A44" w14:textId="57FC4FB8" w:rsidR="000324F9" w:rsidRPr="00241888" w:rsidRDefault="00E60141" w:rsidP="00241888">
      <w:pPr>
        <w:numPr>
          <w:ilvl w:val="0"/>
          <w:numId w:val="1"/>
        </w:numPr>
        <w:spacing w:before="100" w:beforeAutospacing="1" w:after="100" w:afterAutospacing="1" w:line="240" w:lineRule="auto"/>
        <w:rPr>
          <w:rFonts w:ascii="Arial" w:eastAsia="Times New Roman" w:hAnsi="Arial" w:cs="Arial"/>
          <w:color w:val="000000"/>
          <w:kern w:val="0"/>
          <w:sz w:val="23"/>
          <w:szCs w:val="23"/>
          <w14:ligatures w14:val="none"/>
        </w:rPr>
      </w:pPr>
      <w:r w:rsidRPr="000324F9">
        <w:rPr>
          <w:rFonts w:ascii="Open Sans" w:eastAsia="Times New Roman" w:hAnsi="Open Sans" w:cs="Open Sans"/>
          <w:color w:val="000000"/>
          <w:kern w:val="0"/>
          <w14:ligatures w14:val="none"/>
        </w:rPr>
        <w:t>Chronic Achilles tendinitis</w:t>
      </w:r>
    </w:p>
    <w:p w14:paraId="07558A86" w14:textId="77777777" w:rsidR="000324F9" w:rsidRPr="000324F9" w:rsidRDefault="000324F9" w:rsidP="000324F9">
      <w:pPr>
        <w:spacing w:after="150" w:line="240" w:lineRule="auto"/>
        <w:rPr>
          <w:rFonts w:ascii="Arial" w:eastAsia="Times New Roman" w:hAnsi="Arial" w:cs="Arial"/>
          <w:color w:val="000000"/>
          <w:kern w:val="0"/>
          <w:sz w:val="23"/>
          <w:szCs w:val="23"/>
          <w14:ligatures w14:val="none"/>
        </w:rPr>
      </w:pPr>
      <w:r w:rsidRPr="000324F9">
        <w:rPr>
          <w:rFonts w:ascii="Open Sans" w:eastAsia="Times New Roman" w:hAnsi="Open Sans" w:cs="Open Sans"/>
          <w:b/>
          <w:bCs/>
          <w:color w:val="000000"/>
          <w:kern w:val="0"/>
          <w14:ligatures w14:val="none"/>
        </w:rPr>
        <w:t>Product Details </w:t>
      </w:r>
      <w:r w:rsidRPr="000324F9">
        <w:rPr>
          <w:rFonts w:ascii="Open Sans" w:eastAsia="Times New Roman" w:hAnsi="Open Sans" w:cs="Open Sans"/>
          <w:b/>
          <w:bCs/>
          <w:color w:val="000000"/>
          <w:kern w:val="0"/>
          <w14:ligatures w14:val="none"/>
        </w:rPr>
        <w:br/>
      </w:r>
      <w:r w:rsidRPr="000324F9">
        <w:rPr>
          <w:rFonts w:ascii="Open Sans" w:eastAsia="Times New Roman" w:hAnsi="Open Sans" w:cs="Open Sans"/>
          <w:color w:val="000000"/>
          <w:kern w:val="0"/>
          <w14:ligatures w14:val="none"/>
        </w:rPr>
        <w:t>The Standard gauntlet brace is the gold standard for treating sedentary to very active patients with adult-acquired flatfoot or PTTD. It can also be used to treat varus or valgus deformities, severe pronation, and other tendon pathologies. Measuring 9-inch in height, this brace distributes forces equally throughout the lower extremity. The standard 4mm polypropylene shell wraps just anterior to the malleoli, though the trim lines can be customized for more or less control. This device can also function as a water device and should be washed immediately after use in saltwater.</w:t>
      </w:r>
    </w:p>
    <w:p w14:paraId="77AFE5A8" w14:textId="77777777" w:rsidR="000324F9" w:rsidRPr="000324F9" w:rsidRDefault="000324F9" w:rsidP="000324F9">
      <w:pPr>
        <w:spacing w:after="150" w:line="240" w:lineRule="auto"/>
        <w:rPr>
          <w:rFonts w:ascii="Arial" w:eastAsia="Times New Roman" w:hAnsi="Arial" w:cs="Arial"/>
          <w:color w:val="000000"/>
          <w:kern w:val="0"/>
          <w:sz w:val="23"/>
          <w:szCs w:val="23"/>
          <w14:ligatures w14:val="none"/>
        </w:rPr>
      </w:pPr>
      <w:r w:rsidRPr="000324F9">
        <w:rPr>
          <w:rFonts w:ascii="Open Sans" w:eastAsia="Times New Roman" w:hAnsi="Open Sans" w:cs="Open Sans"/>
          <w:color w:val="000000"/>
          <w:kern w:val="0"/>
          <w14:ligatures w14:val="none"/>
        </w:rPr>
        <w:t>This brace is formed over a positive model of the patient’s foot. A negative impression or scan above the height of the finished brace must be created to correct and hold the foot, ideally with the ankle at 90 degrees and in a semi-weight-bearing or full-weight position. The finished device is crafted by pulling a leather lining over the model, followed by the plastic layer and a final sewn leather top cover.</w:t>
      </w:r>
    </w:p>
    <w:p w14:paraId="320A59F7" w14:textId="77777777" w:rsidR="000324F9" w:rsidRPr="000324F9" w:rsidRDefault="000324F9" w:rsidP="000324F9">
      <w:pPr>
        <w:spacing w:after="150" w:line="240" w:lineRule="auto"/>
        <w:rPr>
          <w:rFonts w:ascii="Arial" w:eastAsia="Times New Roman" w:hAnsi="Arial" w:cs="Arial"/>
          <w:color w:val="000000"/>
          <w:kern w:val="0"/>
          <w:sz w:val="23"/>
          <w:szCs w:val="23"/>
          <w14:ligatures w14:val="none"/>
        </w:rPr>
      </w:pPr>
      <w:r w:rsidRPr="000324F9">
        <w:rPr>
          <w:rFonts w:ascii="Open Sans" w:eastAsia="Times New Roman" w:hAnsi="Open Sans" w:cs="Open Sans"/>
          <w:color w:val="000000"/>
          <w:kern w:val="0"/>
          <w14:ligatures w14:val="none"/>
        </w:rPr>
        <w:t>This device is fully customizable per the practitioner’s discretion and is available exclusively through licensed medical providers.</w:t>
      </w:r>
    </w:p>
    <w:p w14:paraId="4C5E4993" w14:textId="77777777" w:rsidR="003C4E44" w:rsidRPr="003C4E44" w:rsidRDefault="003C4E44" w:rsidP="003C4E44">
      <w:pPr>
        <w:spacing w:after="150" w:line="240" w:lineRule="auto"/>
        <w:rPr>
          <w:rFonts w:ascii="Arial" w:eastAsia="Times New Roman" w:hAnsi="Arial" w:cs="Arial"/>
          <w:color w:val="000000"/>
          <w:kern w:val="0"/>
          <w:sz w:val="23"/>
          <w:szCs w:val="23"/>
          <w14:ligatures w14:val="none"/>
        </w:rPr>
      </w:pPr>
      <w:r w:rsidRPr="003C4E44">
        <w:rPr>
          <w:rFonts w:ascii="Open Sans" w:eastAsia="Times New Roman" w:hAnsi="Open Sans" w:cs="Open Sans"/>
          <w:b/>
          <w:bCs/>
          <w:color w:val="000000"/>
          <w:kern w:val="0"/>
          <w14:ligatures w14:val="none"/>
        </w:rPr>
        <w:t>SUGGESTED Codes</w:t>
      </w:r>
      <w:r w:rsidRPr="003C4E44">
        <w:rPr>
          <w:rFonts w:ascii="Open Sans" w:eastAsia="Times New Roman" w:hAnsi="Open Sans" w:cs="Open Sans"/>
          <w:b/>
          <w:bCs/>
          <w:color w:val="000000"/>
          <w:kern w:val="0"/>
          <w14:ligatures w14:val="none"/>
        </w:rPr>
        <w:br/>
        <w:t>L1940</w:t>
      </w:r>
      <w:r w:rsidRPr="003C4E44">
        <w:rPr>
          <w:rFonts w:ascii="Open Sans" w:eastAsia="Times New Roman" w:hAnsi="Open Sans" w:cs="Open Sans"/>
          <w:color w:val="000000"/>
          <w:kern w:val="0"/>
          <w14:ligatures w14:val="none"/>
        </w:rPr>
        <w:t> Ankle foot orthosis, plastic or other material, custom fabricated </w:t>
      </w:r>
      <w:r w:rsidRPr="003C4E44">
        <w:rPr>
          <w:rFonts w:ascii="Open Sans" w:eastAsia="Times New Roman" w:hAnsi="Open Sans" w:cs="Open Sans"/>
          <w:color w:val="000000"/>
          <w:kern w:val="0"/>
          <w14:ligatures w14:val="none"/>
        </w:rPr>
        <w:br/>
      </w:r>
      <w:r w:rsidRPr="003C4E44">
        <w:rPr>
          <w:rFonts w:ascii="Open Sans" w:eastAsia="Times New Roman" w:hAnsi="Open Sans" w:cs="Open Sans"/>
          <w:b/>
          <w:bCs/>
          <w:color w:val="000000"/>
          <w:kern w:val="0"/>
          <w14:ligatures w14:val="none"/>
        </w:rPr>
        <w:t>L2820 </w:t>
      </w:r>
      <w:r w:rsidRPr="003C4E44">
        <w:rPr>
          <w:rFonts w:ascii="Open Sans" w:eastAsia="Times New Roman" w:hAnsi="Open Sans" w:cs="Open Sans"/>
          <w:color w:val="000000"/>
          <w:kern w:val="0"/>
          <w14:ligatures w14:val="none"/>
        </w:rPr>
        <w:t>Addition to Lower Extremity Orthosis, Soft Interface for Molded Plastic, Below Knee Section</w:t>
      </w:r>
      <w:r w:rsidRPr="003C4E44">
        <w:rPr>
          <w:rFonts w:ascii="Open Sans" w:eastAsia="Times New Roman" w:hAnsi="Open Sans" w:cs="Open Sans"/>
          <w:color w:val="000000"/>
          <w:kern w:val="0"/>
          <w14:ligatures w14:val="none"/>
        </w:rPr>
        <w:br/>
      </w:r>
      <w:r w:rsidRPr="003C4E44">
        <w:rPr>
          <w:rFonts w:ascii="Open Sans" w:eastAsia="Times New Roman" w:hAnsi="Open Sans" w:cs="Open Sans"/>
          <w:b/>
          <w:bCs/>
          <w:color w:val="000000"/>
          <w:kern w:val="0"/>
          <w14:ligatures w14:val="none"/>
        </w:rPr>
        <w:t>L2330 </w:t>
      </w:r>
      <w:r w:rsidRPr="003C4E44">
        <w:rPr>
          <w:rFonts w:ascii="Open Sans" w:eastAsia="Times New Roman" w:hAnsi="Open Sans" w:cs="Open Sans"/>
          <w:color w:val="000000"/>
          <w:kern w:val="0"/>
          <w14:ligatures w14:val="none"/>
        </w:rPr>
        <w:t>A leather, or similar material, lacer molded from a model of the patient, that fits around the calf area, includes casting and cast preparation</w:t>
      </w:r>
    </w:p>
    <w:p w14:paraId="58396E1C" w14:textId="77777777" w:rsidR="003C4E44" w:rsidRPr="003C4E44" w:rsidRDefault="003C4E44" w:rsidP="003C4E44">
      <w:pPr>
        <w:spacing w:after="0" w:line="240" w:lineRule="auto"/>
        <w:rPr>
          <w:rFonts w:ascii="Times New Roman" w:eastAsia="Times New Roman" w:hAnsi="Times New Roman" w:cs="Times New Roman"/>
          <w:kern w:val="0"/>
          <w14:ligatures w14:val="none"/>
        </w:rPr>
      </w:pPr>
    </w:p>
    <w:p w14:paraId="69D226F6" w14:textId="77777777" w:rsidR="000324F9" w:rsidRDefault="000324F9"/>
    <w:sectPr w:rsidR="000324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Open Sans">
    <w:panose1 w:val="020B0606030504020204"/>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12D3D72"/>
    <w:multiLevelType w:val="multilevel"/>
    <w:tmpl w:val="1DF23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E2D0C88"/>
    <w:multiLevelType w:val="multilevel"/>
    <w:tmpl w:val="F788E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4252323">
    <w:abstractNumId w:val="0"/>
  </w:num>
  <w:num w:numId="2" w16cid:durableId="351540543">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24F9"/>
    <w:rsid w:val="000324F9"/>
    <w:rsid w:val="00241888"/>
    <w:rsid w:val="002A38AF"/>
    <w:rsid w:val="002A78B0"/>
    <w:rsid w:val="003C4E44"/>
    <w:rsid w:val="0064701B"/>
    <w:rsid w:val="00666C60"/>
    <w:rsid w:val="009D54E3"/>
    <w:rsid w:val="00A24C2F"/>
    <w:rsid w:val="00CA20E6"/>
    <w:rsid w:val="00E60141"/>
    <w:rsid w:val="00F458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022F64F3"/>
  <w15:chartTrackingRefBased/>
  <w15:docId w15:val="{B99E1456-45B0-324D-9259-6E631FBF9C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24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24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24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24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24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24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24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24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24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24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24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24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24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24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24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24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24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24F9"/>
    <w:rPr>
      <w:rFonts w:eastAsiaTheme="majorEastAsia" w:cstheme="majorBidi"/>
      <w:color w:val="272727" w:themeColor="text1" w:themeTint="D8"/>
    </w:rPr>
  </w:style>
  <w:style w:type="paragraph" w:styleId="Title">
    <w:name w:val="Title"/>
    <w:basedOn w:val="Normal"/>
    <w:next w:val="Normal"/>
    <w:link w:val="TitleChar"/>
    <w:uiPriority w:val="10"/>
    <w:qFormat/>
    <w:rsid w:val="000324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24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24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24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24F9"/>
    <w:pPr>
      <w:spacing w:before="160"/>
      <w:jc w:val="center"/>
    </w:pPr>
    <w:rPr>
      <w:i/>
      <w:iCs/>
      <w:color w:val="404040" w:themeColor="text1" w:themeTint="BF"/>
    </w:rPr>
  </w:style>
  <w:style w:type="character" w:customStyle="1" w:styleId="QuoteChar">
    <w:name w:val="Quote Char"/>
    <w:basedOn w:val="DefaultParagraphFont"/>
    <w:link w:val="Quote"/>
    <w:uiPriority w:val="29"/>
    <w:rsid w:val="000324F9"/>
    <w:rPr>
      <w:i/>
      <w:iCs/>
      <w:color w:val="404040" w:themeColor="text1" w:themeTint="BF"/>
    </w:rPr>
  </w:style>
  <w:style w:type="paragraph" w:styleId="ListParagraph">
    <w:name w:val="List Paragraph"/>
    <w:basedOn w:val="Normal"/>
    <w:uiPriority w:val="34"/>
    <w:qFormat/>
    <w:rsid w:val="000324F9"/>
    <w:pPr>
      <w:ind w:left="720"/>
      <w:contextualSpacing/>
    </w:pPr>
  </w:style>
  <w:style w:type="character" w:styleId="IntenseEmphasis">
    <w:name w:val="Intense Emphasis"/>
    <w:basedOn w:val="DefaultParagraphFont"/>
    <w:uiPriority w:val="21"/>
    <w:qFormat/>
    <w:rsid w:val="000324F9"/>
    <w:rPr>
      <w:i/>
      <w:iCs/>
      <w:color w:val="0F4761" w:themeColor="accent1" w:themeShade="BF"/>
    </w:rPr>
  </w:style>
  <w:style w:type="paragraph" w:styleId="IntenseQuote">
    <w:name w:val="Intense Quote"/>
    <w:basedOn w:val="Normal"/>
    <w:next w:val="Normal"/>
    <w:link w:val="IntenseQuoteChar"/>
    <w:uiPriority w:val="30"/>
    <w:qFormat/>
    <w:rsid w:val="000324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24F9"/>
    <w:rPr>
      <w:i/>
      <w:iCs/>
      <w:color w:val="0F4761" w:themeColor="accent1" w:themeShade="BF"/>
    </w:rPr>
  </w:style>
  <w:style w:type="character" w:styleId="IntenseReference">
    <w:name w:val="Intense Reference"/>
    <w:basedOn w:val="DefaultParagraphFont"/>
    <w:uiPriority w:val="32"/>
    <w:qFormat/>
    <w:rsid w:val="000324F9"/>
    <w:rPr>
      <w:b/>
      <w:bCs/>
      <w:smallCaps/>
      <w:color w:val="0F4761" w:themeColor="accent1" w:themeShade="BF"/>
      <w:spacing w:val="5"/>
    </w:rPr>
  </w:style>
  <w:style w:type="paragraph" w:styleId="NormalWeb">
    <w:name w:val="Normal (Web)"/>
    <w:basedOn w:val="Normal"/>
    <w:uiPriority w:val="99"/>
    <w:semiHidden/>
    <w:unhideWhenUsed/>
    <w:rsid w:val="000324F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324F9"/>
    <w:rPr>
      <w:b/>
      <w:bCs/>
    </w:rPr>
  </w:style>
  <w:style w:type="paragraph" w:customStyle="1" w:styleId="listtitle">
    <w:name w:val="list_title"/>
    <w:basedOn w:val="Normal"/>
    <w:rsid w:val="000324F9"/>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0324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481537786">
      <w:bodyDiv w:val="1"/>
      <w:marLeft w:val="0"/>
      <w:marRight w:val="0"/>
      <w:marTop w:val="0"/>
      <w:marBottom w:val="0"/>
      <w:divBdr>
        <w:top w:val="none" w:sz="0" w:space="0" w:color="auto"/>
        <w:left w:val="none" w:sz="0" w:space="0" w:color="auto"/>
        <w:bottom w:val="none" w:sz="0" w:space="0" w:color="auto"/>
        <w:right w:val="none" w:sz="0" w:space="0" w:color="auto"/>
      </w:divBdr>
    </w:div>
    <w:div w:id="1603535220">
      <w:bodyDiv w:val="1"/>
      <w:marLeft w:val="0"/>
      <w:marRight w:val="0"/>
      <w:marTop w:val="0"/>
      <w:marBottom w:val="0"/>
      <w:divBdr>
        <w:top w:val="none" w:sz="0" w:space="0" w:color="auto"/>
        <w:left w:val="none" w:sz="0" w:space="0" w:color="auto"/>
        <w:bottom w:val="none" w:sz="0" w:space="0" w:color="auto"/>
        <w:right w:val="none" w:sz="0" w:space="0" w:color="auto"/>
      </w:divBdr>
      <w:divsChild>
        <w:div w:id="1938517746">
          <w:marLeft w:val="0"/>
          <w:marRight w:val="0"/>
          <w:marTop w:val="150"/>
          <w:marBottom w:val="150"/>
          <w:divBdr>
            <w:top w:val="none" w:sz="0" w:space="0" w:color="auto"/>
            <w:left w:val="none" w:sz="0" w:space="0" w:color="auto"/>
            <w:bottom w:val="none" w:sz="0" w:space="0" w:color="auto"/>
            <w:right w:val="none" w:sz="0" w:space="0" w:color="auto"/>
          </w:divBdr>
        </w:div>
        <w:div w:id="1952205441">
          <w:marLeft w:val="0"/>
          <w:marRight w:val="0"/>
          <w:marTop w:val="0"/>
          <w:marBottom w:val="0"/>
          <w:divBdr>
            <w:top w:val="none" w:sz="0" w:space="0" w:color="auto"/>
            <w:left w:val="none" w:sz="0" w:space="0" w:color="auto"/>
            <w:bottom w:val="none" w:sz="0" w:space="0" w:color="auto"/>
            <w:right w:val="none" w:sz="0" w:space="0" w:color="auto"/>
          </w:divBdr>
          <w:divsChild>
            <w:div w:id="780535154">
              <w:marLeft w:val="0"/>
              <w:marRight w:val="0"/>
              <w:marTop w:val="0"/>
              <w:marBottom w:val="0"/>
              <w:divBdr>
                <w:top w:val="none" w:sz="0" w:space="0" w:color="auto"/>
                <w:left w:val="none" w:sz="0" w:space="0" w:color="auto"/>
                <w:bottom w:val="none" w:sz="0" w:space="0" w:color="auto"/>
                <w:right w:val="none" w:sz="0" w:space="0" w:color="auto"/>
              </w:divBdr>
              <w:divsChild>
                <w:div w:id="2115323049">
                  <w:marLeft w:val="0"/>
                  <w:marRight w:val="0"/>
                  <w:marTop w:val="0"/>
                  <w:marBottom w:val="0"/>
                  <w:divBdr>
                    <w:top w:val="none" w:sz="0" w:space="0" w:color="auto"/>
                    <w:left w:val="none" w:sz="0" w:space="0" w:color="auto"/>
                    <w:bottom w:val="none" w:sz="0" w:space="0" w:color="auto"/>
                    <w:right w:val="none" w:sz="0" w:space="0" w:color="auto"/>
                  </w:divBdr>
                  <w:divsChild>
                    <w:div w:id="907225094">
                      <w:marLeft w:val="0"/>
                      <w:marRight w:val="0"/>
                      <w:marTop w:val="0"/>
                      <w:marBottom w:val="0"/>
                      <w:divBdr>
                        <w:top w:val="none" w:sz="0" w:space="0" w:color="auto"/>
                        <w:left w:val="none" w:sz="0" w:space="0" w:color="auto"/>
                        <w:bottom w:val="none" w:sz="0" w:space="0" w:color="auto"/>
                        <w:right w:val="none" w:sz="0" w:space="0" w:color="auto"/>
                      </w:divBdr>
                      <w:divsChild>
                        <w:div w:id="1469665304">
                          <w:marLeft w:val="0"/>
                          <w:marRight w:val="0"/>
                          <w:marTop w:val="0"/>
                          <w:marBottom w:val="0"/>
                          <w:divBdr>
                            <w:top w:val="none" w:sz="0" w:space="0" w:color="auto"/>
                            <w:left w:val="none" w:sz="0" w:space="0" w:color="auto"/>
                            <w:bottom w:val="none" w:sz="0" w:space="0" w:color="auto"/>
                            <w:right w:val="none" w:sz="0" w:space="0" w:color="auto"/>
                          </w:divBdr>
                          <w:divsChild>
                            <w:div w:id="975839784">
                              <w:marLeft w:val="0"/>
                              <w:marRight w:val="0"/>
                              <w:marTop w:val="0"/>
                              <w:marBottom w:val="0"/>
                              <w:divBdr>
                                <w:top w:val="none" w:sz="0" w:space="0" w:color="auto"/>
                                <w:left w:val="none" w:sz="0" w:space="0" w:color="auto"/>
                                <w:bottom w:val="none" w:sz="0" w:space="0" w:color="auto"/>
                                <w:right w:val="none" w:sz="0" w:space="0" w:color="auto"/>
                              </w:divBdr>
                              <w:divsChild>
                                <w:div w:id="1122387037">
                                  <w:marLeft w:val="0"/>
                                  <w:marRight w:val="0"/>
                                  <w:marTop w:val="150"/>
                                  <w:marBottom w:val="0"/>
                                  <w:divBdr>
                                    <w:top w:val="none" w:sz="0" w:space="0" w:color="auto"/>
                                    <w:left w:val="none" w:sz="0" w:space="0" w:color="auto"/>
                                    <w:bottom w:val="none" w:sz="0" w:space="0" w:color="auto"/>
                                    <w:right w:val="none" w:sz="0" w:space="0" w:color="auto"/>
                                  </w:divBdr>
                                  <w:divsChild>
                                    <w:div w:id="1007051281">
                                      <w:marLeft w:val="0"/>
                                      <w:marRight w:val="0"/>
                                      <w:marTop w:val="0"/>
                                      <w:marBottom w:val="0"/>
                                      <w:divBdr>
                                        <w:top w:val="none" w:sz="0" w:space="0" w:color="auto"/>
                                        <w:left w:val="none" w:sz="0" w:space="0" w:color="auto"/>
                                        <w:bottom w:val="none" w:sz="0" w:space="0" w:color="auto"/>
                                        <w:right w:val="none" w:sz="0" w:space="0" w:color="auto"/>
                                      </w:divBdr>
                                      <w:divsChild>
                                        <w:div w:id="483354345">
                                          <w:marLeft w:val="0"/>
                                          <w:marRight w:val="0"/>
                                          <w:marTop w:val="0"/>
                                          <w:marBottom w:val="0"/>
                                          <w:divBdr>
                                            <w:top w:val="none" w:sz="0" w:space="0" w:color="auto"/>
                                            <w:left w:val="none" w:sz="0" w:space="0" w:color="auto"/>
                                            <w:bottom w:val="none" w:sz="0" w:space="0" w:color="auto"/>
                                            <w:right w:val="none" w:sz="0" w:space="0" w:color="auto"/>
                                          </w:divBdr>
                                          <w:divsChild>
                                            <w:div w:id="2002653349">
                                              <w:marLeft w:val="0"/>
                                              <w:marRight w:val="0"/>
                                              <w:marTop w:val="0"/>
                                              <w:marBottom w:val="0"/>
                                              <w:divBdr>
                                                <w:top w:val="none" w:sz="0" w:space="0" w:color="auto"/>
                                                <w:left w:val="none" w:sz="0" w:space="0" w:color="auto"/>
                                                <w:bottom w:val="none" w:sz="0" w:space="0" w:color="auto"/>
                                                <w:right w:val="none" w:sz="0" w:space="0" w:color="auto"/>
                                              </w:divBdr>
                                              <w:divsChild>
                                                <w:div w:id="1131559943">
                                                  <w:marLeft w:val="0"/>
                                                  <w:marRight w:val="0"/>
                                                  <w:marTop w:val="0"/>
                                                  <w:marBottom w:val="0"/>
                                                  <w:divBdr>
                                                    <w:top w:val="none" w:sz="0" w:space="0" w:color="auto"/>
                                                    <w:left w:val="none" w:sz="0" w:space="0" w:color="auto"/>
                                                    <w:bottom w:val="none" w:sz="0" w:space="0" w:color="auto"/>
                                                    <w:right w:val="none" w:sz="0" w:space="0" w:color="auto"/>
                                                  </w:divBdr>
                                                  <w:divsChild>
                                                    <w:div w:id="1083066965">
                                                      <w:marLeft w:val="0"/>
                                                      <w:marRight w:val="0"/>
                                                      <w:marTop w:val="0"/>
                                                      <w:marBottom w:val="0"/>
                                                      <w:divBdr>
                                                        <w:top w:val="none" w:sz="0" w:space="0" w:color="auto"/>
                                                        <w:left w:val="none" w:sz="0" w:space="0" w:color="auto"/>
                                                        <w:bottom w:val="none" w:sz="0" w:space="0" w:color="auto"/>
                                                        <w:right w:val="none" w:sz="0" w:space="0" w:color="auto"/>
                                                      </w:divBdr>
                                                      <w:divsChild>
                                                        <w:div w:id="859782577">
                                                          <w:marLeft w:val="0"/>
                                                          <w:marRight w:val="0"/>
                                                          <w:marTop w:val="0"/>
                                                          <w:marBottom w:val="0"/>
                                                          <w:divBdr>
                                                            <w:top w:val="none" w:sz="0" w:space="0" w:color="auto"/>
                                                            <w:left w:val="none" w:sz="0" w:space="0" w:color="auto"/>
                                                            <w:bottom w:val="none" w:sz="0" w:space="0" w:color="auto"/>
                                                            <w:right w:val="none" w:sz="0" w:space="0" w:color="auto"/>
                                                          </w:divBdr>
                                                          <w:divsChild>
                                                            <w:div w:id="1271354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9079816">
                                          <w:marLeft w:val="0"/>
                                          <w:marRight w:val="0"/>
                                          <w:marTop w:val="0"/>
                                          <w:marBottom w:val="0"/>
                                          <w:divBdr>
                                            <w:top w:val="none" w:sz="0" w:space="0" w:color="auto"/>
                                            <w:left w:val="none" w:sz="0" w:space="0" w:color="auto"/>
                                            <w:bottom w:val="none" w:sz="0" w:space="0" w:color="auto"/>
                                            <w:right w:val="none" w:sz="0" w:space="0" w:color="auto"/>
                                          </w:divBdr>
                                          <w:divsChild>
                                            <w:div w:id="384720099">
                                              <w:marLeft w:val="0"/>
                                              <w:marRight w:val="0"/>
                                              <w:marTop w:val="0"/>
                                              <w:marBottom w:val="0"/>
                                              <w:divBdr>
                                                <w:top w:val="none" w:sz="0" w:space="0" w:color="auto"/>
                                                <w:left w:val="none" w:sz="0" w:space="0" w:color="auto"/>
                                                <w:bottom w:val="none" w:sz="0" w:space="0" w:color="auto"/>
                                                <w:right w:val="none" w:sz="0" w:space="0" w:color="auto"/>
                                              </w:divBdr>
                                              <w:divsChild>
                                                <w:div w:id="409933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273</Words>
  <Characters>1557</Characters>
  <Application>Microsoft Office Word</Application>
  <DocSecurity>0</DocSecurity>
  <Lines>12</Lines>
  <Paragraphs>3</Paragraphs>
  <ScaleCrop>false</ScaleCrop>
  <Company/>
  <LinksUpToDate>false</LinksUpToDate>
  <CharactersWithSpaces>1827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Sagiyan, Sabrina</dc:creator>
  <cp:keywords/>
  <dc:description/>
  <cp:lastModifiedBy>Sagiyan, Sabrina</cp:lastModifiedBy>
  <cp:revision>5</cp:revision>
  <dcterms:created xsi:type="dcterms:W3CDTF">2024-09-05T01:42:00Z</dcterms:created>
  <dcterms:modified xsi:type="dcterms:W3CDTF">2026-07-14T02:34:00Z</dcterms:modified>
</cp:coreProperties>
</file>