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ECA91" w14:textId="77777777" w:rsidR="0032607B" w:rsidRPr="0032607B" w:rsidRDefault="0032607B" w:rsidP="0032607B">
      <w:p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  <w:b/>
          <w:bCs/>
          <w:u w:val="single"/>
        </w:rPr>
        <w:t>Reading</w:t>
      </w:r>
    </w:p>
    <w:p w14:paraId="3C7121F4" w14:textId="5F788EB3" w:rsidR="00FD2AC8" w:rsidRDefault="00FD2AC8" w:rsidP="0032607B">
      <w:pPr>
        <w:spacing w:line="240" w:lineRule="auto"/>
        <w:rPr>
          <w:rFonts w:ascii="Calibri" w:hAnsi="Calibri" w:cs="Calibri"/>
          <w:b/>
          <w:bCs/>
          <w:i/>
          <w:iCs/>
        </w:rPr>
      </w:pPr>
      <w:r w:rsidRPr="00FD2AC8">
        <w:rPr>
          <w:rFonts w:ascii="Calibri" w:hAnsi="Calibri" w:cs="Calibri"/>
          <w:b/>
          <w:bCs/>
          <w:i/>
          <w:iCs/>
        </w:rPr>
        <w:t xml:space="preserve">The KSQ: Using available </w:t>
      </w:r>
      <w:proofErr w:type="spellStart"/>
      <w:r w:rsidRPr="00FD2AC8">
        <w:rPr>
          <w:rFonts w:ascii="Calibri" w:hAnsi="Calibri" w:cs="Calibri"/>
          <w:b/>
          <w:bCs/>
          <w:i/>
          <w:iCs/>
        </w:rPr>
        <w:t>scRNA</w:t>
      </w:r>
      <w:proofErr w:type="spellEnd"/>
      <w:r w:rsidRPr="00FD2AC8">
        <w:rPr>
          <w:rFonts w:ascii="Calibri" w:hAnsi="Calibri" w:cs="Calibri"/>
          <w:b/>
          <w:bCs/>
          <w:i/>
          <w:iCs/>
        </w:rPr>
        <w:t xml:space="preserve">-seq data from cancer cell lines, </w:t>
      </w:r>
      <w:r w:rsidRPr="00E02AA0">
        <w:rPr>
          <w:rFonts w:ascii="Calibri" w:hAnsi="Calibri" w:cs="Calibri"/>
          <w:b/>
          <w:bCs/>
          <w:i/>
          <w:iCs/>
          <w:u w:val="single"/>
        </w:rPr>
        <w:t>how</w:t>
      </w:r>
      <w:r w:rsidRPr="00FD2AC8">
        <w:rPr>
          <w:rFonts w:ascii="Calibri" w:hAnsi="Calibri" w:cs="Calibri"/>
          <w:b/>
          <w:bCs/>
          <w:i/>
          <w:iCs/>
        </w:rPr>
        <w:t xml:space="preserve"> would you explore the use of the following FDA-approved antibody therapies in additional cancers?</w:t>
      </w:r>
    </w:p>
    <w:p w14:paraId="4B7347FB" w14:textId="77777777" w:rsidR="00120A68" w:rsidRPr="00120A68" w:rsidRDefault="00120A68" w:rsidP="00120A68">
      <w:pPr>
        <w:numPr>
          <w:ilvl w:val="0"/>
          <w:numId w:val="26"/>
        </w:numPr>
        <w:spacing w:line="240" w:lineRule="auto"/>
        <w:rPr>
          <w:rFonts w:ascii="Calibri" w:hAnsi="Calibri" w:cs="Calibri"/>
        </w:rPr>
      </w:pPr>
      <w:r w:rsidRPr="00120A68">
        <w:rPr>
          <w:rFonts w:ascii="Calibri" w:hAnsi="Calibri" w:cs="Calibri"/>
          <w:b/>
          <w:bCs/>
        </w:rPr>
        <w:t xml:space="preserve">Trastuzumab: </w:t>
      </w:r>
      <w:r w:rsidRPr="00120A68">
        <w:rPr>
          <w:rFonts w:ascii="Calibri" w:hAnsi="Calibri" w:cs="Calibri"/>
        </w:rPr>
        <w:t>Targets HER2 and is used in the treatment of HER2-positive breast and gastric cancers.</w:t>
      </w:r>
    </w:p>
    <w:p w14:paraId="209D3ECE" w14:textId="77777777" w:rsidR="00120A68" w:rsidRPr="00120A68" w:rsidRDefault="00120A68" w:rsidP="00120A68">
      <w:pPr>
        <w:numPr>
          <w:ilvl w:val="0"/>
          <w:numId w:val="26"/>
        </w:numPr>
        <w:spacing w:line="240" w:lineRule="auto"/>
        <w:rPr>
          <w:rFonts w:ascii="Calibri" w:hAnsi="Calibri" w:cs="Calibri"/>
          <w:b/>
          <w:bCs/>
        </w:rPr>
      </w:pPr>
      <w:r w:rsidRPr="00120A68">
        <w:rPr>
          <w:rFonts w:ascii="Calibri" w:hAnsi="Calibri" w:cs="Calibri"/>
          <w:b/>
          <w:bCs/>
        </w:rPr>
        <w:t xml:space="preserve">Bevacizumab: </w:t>
      </w:r>
      <w:r w:rsidRPr="00120A68">
        <w:rPr>
          <w:rFonts w:ascii="Calibri" w:hAnsi="Calibri" w:cs="Calibri"/>
        </w:rPr>
        <w:t>Targets VEGF and is used for a variety of cancers, including colorectal, lung, glioblastoma, breast, liver, and kidney cancer.</w:t>
      </w:r>
    </w:p>
    <w:p w14:paraId="72E87F07" w14:textId="646511BA" w:rsidR="000F75F1" w:rsidRPr="000F75F1" w:rsidRDefault="000F75F1" w:rsidP="000F75F1">
      <w:pPr>
        <w:spacing w:line="240" w:lineRule="auto"/>
        <w:rPr>
          <w:rFonts w:ascii="Calibri" w:hAnsi="Calibri" w:cs="Calibri"/>
          <w:color w:val="FF0000"/>
        </w:rPr>
      </w:pPr>
      <w:r w:rsidRPr="000F75F1">
        <w:rPr>
          <w:rFonts w:ascii="Calibri" w:hAnsi="Calibri" w:cs="Calibri"/>
          <w:color w:val="FF0000"/>
        </w:rPr>
        <w:t xml:space="preserve">First, I want to clarify that trastuzumab targets HER2 at the DNA level, not just the protein level. If only cell line data is available, I would begin by analyzing </w:t>
      </w:r>
      <w:proofErr w:type="spellStart"/>
      <w:r w:rsidRPr="000F75F1">
        <w:rPr>
          <w:rFonts w:ascii="Calibri" w:hAnsi="Calibri" w:cs="Calibri"/>
          <w:color w:val="FF0000"/>
        </w:rPr>
        <w:t>scRNA</w:t>
      </w:r>
      <w:proofErr w:type="spellEnd"/>
      <w:r w:rsidRPr="000F75F1">
        <w:rPr>
          <w:rFonts w:ascii="Calibri" w:hAnsi="Calibri" w:cs="Calibri"/>
          <w:color w:val="FF0000"/>
        </w:rPr>
        <w:t>-seq data from cancer cell lines to assess the correlation between DNA, RNA, and protein expression. For trastuzumab, I would focus on comparing the RNA expression profiles of HER2-positive breast and gastric cancer cell lines to other cancer types to identify potential similarities that could suggest new therapeutic uses.</w:t>
      </w:r>
    </w:p>
    <w:p w14:paraId="46BE2F1D" w14:textId="5570A244" w:rsidR="00FD2AC8" w:rsidRDefault="000F75F1" w:rsidP="000F75F1">
      <w:pPr>
        <w:spacing w:line="240" w:lineRule="auto"/>
        <w:rPr>
          <w:rFonts w:ascii="Calibri" w:hAnsi="Calibri" w:cs="Calibri"/>
        </w:rPr>
      </w:pPr>
      <w:r w:rsidRPr="000F75F1">
        <w:rPr>
          <w:rFonts w:ascii="Calibri" w:hAnsi="Calibri" w:cs="Calibri"/>
          <w:color w:val="FF0000"/>
        </w:rPr>
        <w:t>By understanding the relationship between RNA expression and protein structure, I could confirm whether similar RNA expression in other cancers reflects consistent HER2 protein formation, which would justify further exploration of trastuzumab’s efficacy in those cancers.</w:t>
      </w:r>
      <w:r w:rsidR="00A356F7">
        <w:rPr>
          <w:rFonts w:ascii="Calibri" w:hAnsi="Calibri" w:cs="Calibri"/>
        </w:rPr>
        <w:t xml:space="preserve"> </w:t>
      </w:r>
    </w:p>
    <w:p w14:paraId="7B332113" w14:textId="46144D91" w:rsidR="000F75F1" w:rsidRPr="00120A68" w:rsidRDefault="000F75F1" w:rsidP="000F75F1">
      <w:pPr>
        <w:spacing w:line="240" w:lineRule="auto"/>
        <w:rPr>
          <w:rFonts w:ascii="Calibri" w:hAnsi="Calibri" w:cs="Calibri"/>
        </w:rPr>
      </w:pPr>
      <w:r w:rsidRPr="000F75F1">
        <w:rPr>
          <w:rFonts w:ascii="Calibri" w:hAnsi="Calibri" w:cs="Calibri"/>
          <w:color w:val="FF0000"/>
        </w:rPr>
        <w:t>In addition, I would explore how the expression of HER2 correlates with the tumor microenvironment</w:t>
      </w:r>
      <w:r>
        <w:rPr>
          <w:rFonts w:ascii="Calibri" w:hAnsi="Calibri" w:cs="Calibri"/>
          <w:color w:val="FF0000"/>
        </w:rPr>
        <w:t xml:space="preserve"> (proteomic, metabolomics etc. if data is available)</w:t>
      </w:r>
      <w:r w:rsidRPr="000F75F1">
        <w:rPr>
          <w:rFonts w:ascii="Calibri" w:hAnsi="Calibri" w:cs="Calibri"/>
          <w:color w:val="FF0000"/>
        </w:rPr>
        <w:t xml:space="preserve"> and investigate co-expression patterns with other genes to find potential targets for combination therapies.</w:t>
      </w:r>
    </w:p>
    <w:p w14:paraId="233DD28D" w14:textId="3523E0BA" w:rsidR="0032607B" w:rsidRPr="001821DD" w:rsidRDefault="0032607B" w:rsidP="0032607B">
      <w:pPr>
        <w:spacing w:line="240" w:lineRule="auto"/>
        <w:rPr>
          <w:rFonts w:ascii="Calibri" w:hAnsi="Calibri" w:cs="Calibri"/>
          <w:b/>
          <w:bCs/>
          <w:i/>
          <w:iCs/>
        </w:rPr>
      </w:pPr>
      <w:r w:rsidRPr="001821DD">
        <w:rPr>
          <w:rFonts w:ascii="Calibri" w:hAnsi="Calibri" w:cs="Calibri"/>
          <w:b/>
          <w:bCs/>
          <w:i/>
          <w:iCs/>
        </w:rPr>
        <w:t>What are cancer cell lines? Why do we use cancer cell lines?</w:t>
      </w:r>
    </w:p>
    <w:p w14:paraId="38941AAE" w14:textId="77777777" w:rsidR="000F75F1" w:rsidRDefault="000F75F1" w:rsidP="0032607B">
      <w:pPr>
        <w:spacing w:line="240" w:lineRule="auto"/>
        <w:rPr>
          <w:rFonts w:ascii="Calibri" w:hAnsi="Calibri" w:cs="Calibri"/>
          <w:color w:val="FF0000"/>
        </w:rPr>
      </w:pPr>
      <w:r w:rsidRPr="000F75F1">
        <w:rPr>
          <w:rFonts w:ascii="Calibri" w:hAnsi="Calibri" w:cs="Calibri"/>
          <w:color w:val="FF0000"/>
        </w:rPr>
        <w:t xml:space="preserve">Cancer cell lines are cultures of cells derived from cancerous tissue samples that are used to represent different types of cancer in the laboratory. They are one of the </w:t>
      </w:r>
      <w:proofErr w:type="gramStart"/>
      <w:r w:rsidRPr="000F75F1">
        <w:rPr>
          <w:rFonts w:ascii="Calibri" w:hAnsi="Calibri" w:cs="Calibri"/>
          <w:color w:val="FF0000"/>
        </w:rPr>
        <w:t>most commonly used</w:t>
      </w:r>
      <w:proofErr w:type="gramEnd"/>
      <w:r w:rsidRPr="000F75F1">
        <w:rPr>
          <w:rFonts w:ascii="Calibri" w:hAnsi="Calibri" w:cs="Calibri"/>
          <w:color w:val="FF0000"/>
        </w:rPr>
        <w:t xml:space="preserve"> models in cancer research, helping scientists study cancer biology, validate therapeutic targets, and assess drug efficacy.</w:t>
      </w:r>
    </w:p>
    <w:p w14:paraId="3681B648" w14:textId="5933B408" w:rsidR="0032607B" w:rsidRPr="00E02AA0" w:rsidRDefault="0032607B" w:rsidP="0032607B">
      <w:pPr>
        <w:spacing w:line="240" w:lineRule="auto"/>
        <w:rPr>
          <w:rFonts w:ascii="Calibri" w:hAnsi="Calibri" w:cs="Calibri"/>
          <w:b/>
          <w:bCs/>
          <w:i/>
          <w:iCs/>
        </w:rPr>
      </w:pPr>
      <w:r w:rsidRPr="00E02AA0">
        <w:rPr>
          <w:rFonts w:ascii="Calibri" w:hAnsi="Calibri" w:cs="Calibri"/>
          <w:b/>
          <w:bCs/>
          <w:i/>
          <w:iCs/>
        </w:rPr>
        <w:t xml:space="preserve">What is </w:t>
      </w:r>
      <w:proofErr w:type="spellStart"/>
      <w:r w:rsidRPr="00E02AA0">
        <w:rPr>
          <w:rFonts w:ascii="Calibri" w:hAnsi="Calibri" w:cs="Calibri"/>
          <w:b/>
          <w:bCs/>
          <w:i/>
          <w:iCs/>
        </w:rPr>
        <w:t>scRNA</w:t>
      </w:r>
      <w:proofErr w:type="spellEnd"/>
      <w:r w:rsidRPr="00E02AA0">
        <w:rPr>
          <w:rFonts w:ascii="Calibri" w:hAnsi="Calibri" w:cs="Calibri"/>
          <w:b/>
          <w:bCs/>
          <w:i/>
          <w:iCs/>
        </w:rPr>
        <w:t xml:space="preserve">-seq? Why do we use </w:t>
      </w:r>
      <w:proofErr w:type="spellStart"/>
      <w:r w:rsidRPr="00E02AA0">
        <w:rPr>
          <w:rFonts w:ascii="Calibri" w:hAnsi="Calibri" w:cs="Calibri"/>
          <w:b/>
          <w:bCs/>
          <w:i/>
          <w:iCs/>
        </w:rPr>
        <w:t>scRNA</w:t>
      </w:r>
      <w:proofErr w:type="spellEnd"/>
      <w:r w:rsidRPr="00E02AA0">
        <w:rPr>
          <w:rFonts w:ascii="Calibri" w:hAnsi="Calibri" w:cs="Calibri"/>
          <w:b/>
          <w:bCs/>
          <w:i/>
          <w:iCs/>
        </w:rPr>
        <w:t>-seq data in cancer drug development?</w:t>
      </w:r>
    </w:p>
    <w:p w14:paraId="01882BE0" w14:textId="270B12E9" w:rsidR="003928D3" w:rsidRPr="003928D3" w:rsidRDefault="003928D3" w:rsidP="003928D3">
      <w:pPr>
        <w:spacing w:line="240" w:lineRule="auto"/>
        <w:rPr>
          <w:rFonts w:ascii="Calibri" w:hAnsi="Calibri" w:cs="Calibri"/>
          <w:color w:val="FF0000"/>
        </w:rPr>
      </w:pPr>
      <w:r w:rsidRPr="003928D3">
        <w:rPr>
          <w:rFonts w:ascii="Calibri" w:hAnsi="Calibri" w:cs="Calibri"/>
          <w:color w:val="FF0000"/>
        </w:rPr>
        <w:t>Traditional "bulk" RNA sequencing averages gene expression across potentially millions of cells, masking the differences between individual cells. In contrast, single-cell RNA sequencing (</w:t>
      </w:r>
      <w:proofErr w:type="spellStart"/>
      <w:r w:rsidRPr="003928D3">
        <w:rPr>
          <w:rFonts w:ascii="Calibri" w:hAnsi="Calibri" w:cs="Calibri"/>
          <w:color w:val="FF0000"/>
        </w:rPr>
        <w:t>scRNA</w:t>
      </w:r>
      <w:proofErr w:type="spellEnd"/>
      <w:r w:rsidRPr="003928D3">
        <w:rPr>
          <w:rFonts w:ascii="Calibri" w:hAnsi="Calibri" w:cs="Calibri"/>
          <w:color w:val="FF0000"/>
        </w:rPr>
        <w:t>-seq) analyzes the gene expression of individual cells. After isolating a cell from tissue, its RNA is converted into complementary DNA (cDNA), which is then sequenced to create a gene expression profile for that specific cell. This data allows for a detailed analysis of gene activity in each cell, classification of cell types, identification of rare cell populations, and an understanding of the cellular composition within the tissue.</w:t>
      </w:r>
    </w:p>
    <w:p w14:paraId="73E7FD6D" w14:textId="6007D1DE" w:rsidR="00E02AA0" w:rsidRDefault="003928D3" w:rsidP="003928D3">
      <w:pPr>
        <w:spacing w:line="240" w:lineRule="auto"/>
        <w:rPr>
          <w:rFonts w:ascii="Calibri" w:hAnsi="Calibri" w:cs="Calibri"/>
          <w:color w:val="FF0000"/>
        </w:rPr>
      </w:pPr>
      <w:r w:rsidRPr="003928D3">
        <w:rPr>
          <w:rFonts w:ascii="Calibri" w:hAnsi="Calibri" w:cs="Calibri"/>
          <w:color w:val="FF0000"/>
        </w:rPr>
        <w:t xml:space="preserve">In a lecture by Dr. Aviv Regev, she highlighted how </w:t>
      </w:r>
      <w:proofErr w:type="spellStart"/>
      <w:r w:rsidRPr="003928D3">
        <w:rPr>
          <w:rFonts w:ascii="Calibri" w:hAnsi="Calibri" w:cs="Calibri"/>
          <w:color w:val="FF0000"/>
        </w:rPr>
        <w:t>scRNA</w:t>
      </w:r>
      <w:proofErr w:type="spellEnd"/>
      <w:r w:rsidRPr="003928D3">
        <w:rPr>
          <w:rFonts w:ascii="Calibri" w:hAnsi="Calibri" w:cs="Calibri"/>
          <w:color w:val="FF0000"/>
        </w:rPr>
        <w:t xml:space="preserve">-seq revealed that "cold" regions of tumors, which lack T-cell activity, correspond to resistance to immunotherapy in melanoma. This demonstrated how </w:t>
      </w:r>
      <w:proofErr w:type="spellStart"/>
      <w:r w:rsidRPr="003928D3">
        <w:rPr>
          <w:rFonts w:ascii="Calibri" w:hAnsi="Calibri" w:cs="Calibri"/>
          <w:color w:val="FF0000"/>
        </w:rPr>
        <w:t>scRNA</w:t>
      </w:r>
      <w:proofErr w:type="spellEnd"/>
      <w:r w:rsidRPr="003928D3">
        <w:rPr>
          <w:rFonts w:ascii="Calibri" w:hAnsi="Calibri" w:cs="Calibri"/>
          <w:color w:val="FF0000"/>
        </w:rPr>
        <w:t>-seq can be used to map the tumor microenvironment, providing a framework for understanding how tumors grow and respond to treatments, ultimately guiding the development of more targeted cancer therapies.</w:t>
      </w:r>
    </w:p>
    <w:p w14:paraId="4E4AC725" w14:textId="422EDF59" w:rsidR="003928D3" w:rsidRPr="003928D3" w:rsidRDefault="003928D3" w:rsidP="003928D3">
      <w:pPr>
        <w:spacing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lastRenderedPageBreak/>
        <w:t xml:space="preserve">An analogy would be comparing finding tumor target in a combat situation. We want to </w:t>
      </w:r>
      <w:r w:rsidR="0072375C">
        <w:rPr>
          <w:rFonts w:ascii="Calibri" w:hAnsi="Calibri" w:cs="Calibri"/>
          <w:color w:val="FF0000"/>
        </w:rPr>
        <w:t>target specific group and people without killing civilians or destroying historical sites</w:t>
      </w:r>
      <w:r w:rsidR="00AD5D79">
        <w:rPr>
          <w:rFonts w:ascii="Calibri" w:hAnsi="Calibri" w:cs="Calibri"/>
          <w:color w:val="FF0000"/>
        </w:rPr>
        <w:t xml:space="preserve"> (aka: killing cancer cells without damaging healthy cells). Most of </w:t>
      </w:r>
      <w:proofErr w:type="gramStart"/>
      <w:r w:rsidR="00AD5D79">
        <w:rPr>
          <w:rFonts w:ascii="Calibri" w:hAnsi="Calibri" w:cs="Calibri"/>
          <w:color w:val="FF0000"/>
        </w:rPr>
        <w:t>times</w:t>
      </w:r>
      <w:proofErr w:type="gramEnd"/>
      <w:r w:rsidR="00AD5D79">
        <w:rPr>
          <w:rFonts w:ascii="Calibri" w:hAnsi="Calibri" w:cs="Calibri"/>
          <w:color w:val="FF0000"/>
        </w:rPr>
        <w:t xml:space="preserve">, we know the general cell to target (aka: a city). We also know the coordinate (aka the DNA). </w:t>
      </w:r>
      <w:proofErr w:type="gramStart"/>
      <w:r w:rsidR="00AD5D79">
        <w:rPr>
          <w:rFonts w:ascii="Calibri" w:hAnsi="Calibri" w:cs="Calibri"/>
          <w:color w:val="FF0000"/>
        </w:rPr>
        <w:t>In order to</w:t>
      </w:r>
      <w:proofErr w:type="gramEnd"/>
      <w:r w:rsidR="00AD5D79">
        <w:rPr>
          <w:rFonts w:ascii="Calibri" w:hAnsi="Calibri" w:cs="Calibri"/>
          <w:color w:val="FF0000"/>
        </w:rPr>
        <w:t xml:space="preserve"> efficiently target it, we also need to understand the landscape. Is it a </w:t>
      </w:r>
      <w:proofErr w:type="spellStart"/>
      <w:r w:rsidR="00AD5D79">
        <w:rPr>
          <w:rFonts w:ascii="Calibri" w:hAnsi="Calibri" w:cs="Calibri"/>
          <w:color w:val="FF0000"/>
        </w:rPr>
        <w:t>skyscaper</w:t>
      </w:r>
      <w:proofErr w:type="spellEnd"/>
      <w:r w:rsidR="00AD5D79">
        <w:rPr>
          <w:rFonts w:ascii="Calibri" w:hAnsi="Calibri" w:cs="Calibri"/>
          <w:color w:val="FF0000"/>
        </w:rPr>
        <w:t xml:space="preserve"> or multiple houses? </w:t>
      </w:r>
      <w:proofErr w:type="gramStart"/>
      <w:r w:rsidR="00AD5D79">
        <w:rPr>
          <w:rFonts w:ascii="Calibri" w:hAnsi="Calibri" w:cs="Calibri"/>
          <w:color w:val="FF0000"/>
        </w:rPr>
        <w:t>Are</w:t>
      </w:r>
      <w:proofErr w:type="gramEnd"/>
      <w:r w:rsidR="00AD5D79">
        <w:rPr>
          <w:rFonts w:ascii="Calibri" w:hAnsi="Calibri" w:cs="Calibri"/>
          <w:color w:val="FF0000"/>
        </w:rPr>
        <w:t xml:space="preserve"> there defense nearby we should be cautious about? Are there helpers nearby to </w:t>
      </w:r>
      <w:proofErr w:type="gramStart"/>
      <w:r w:rsidR="00AD5D79">
        <w:rPr>
          <w:rFonts w:ascii="Calibri" w:hAnsi="Calibri" w:cs="Calibri"/>
          <w:color w:val="FF0000"/>
        </w:rPr>
        <w:t>assist</w:t>
      </w:r>
      <w:proofErr w:type="gramEnd"/>
      <w:r w:rsidR="00AD5D79">
        <w:rPr>
          <w:rFonts w:ascii="Calibri" w:hAnsi="Calibri" w:cs="Calibri"/>
          <w:color w:val="FF0000"/>
        </w:rPr>
        <w:t xml:space="preserve"> our attack? Knowing RNA expression in addition to DNA expression is like having a 2D map for a </w:t>
      </w:r>
      <w:proofErr w:type="gramStart"/>
      <w:r w:rsidR="00AD5D79">
        <w:rPr>
          <w:rFonts w:ascii="Calibri" w:hAnsi="Calibri" w:cs="Calibri"/>
          <w:color w:val="FF0000"/>
        </w:rPr>
        <w:t>better ideas</w:t>
      </w:r>
      <w:proofErr w:type="gramEnd"/>
      <w:r w:rsidR="00AD5D79">
        <w:rPr>
          <w:rFonts w:ascii="Calibri" w:hAnsi="Calibri" w:cs="Calibri"/>
          <w:color w:val="FF0000"/>
        </w:rPr>
        <w:t xml:space="preserve">, that is more than the coordinates. </w:t>
      </w:r>
    </w:p>
    <w:p w14:paraId="15A628FC" w14:textId="147E842D" w:rsidR="003928D3" w:rsidRPr="0075764E" w:rsidRDefault="003928D3" w:rsidP="00E02AA0">
      <w:pPr>
        <w:spacing w:line="240" w:lineRule="auto"/>
        <w:rPr>
          <w:rFonts w:ascii="Calibri" w:hAnsi="Calibri" w:cs="Calibri"/>
          <w:b/>
          <w:bCs/>
          <w:u w:val="single"/>
        </w:rPr>
      </w:pPr>
      <w:r w:rsidRPr="0075764E">
        <w:rPr>
          <w:rFonts w:ascii="Calibri" w:hAnsi="Calibri" w:cs="Calibri"/>
          <w:b/>
          <w:bCs/>
          <w:u w:val="single"/>
        </w:rPr>
        <w:t>Summary of Cancer Cell Line Encyclopedia</w:t>
      </w:r>
    </w:p>
    <w:p w14:paraId="7CBB3860" w14:textId="77777777" w:rsidR="003928D3" w:rsidRPr="0075764E" w:rsidRDefault="003928D3" w:rsidP="003928D3">
      <w:pPr>
        <w:spacing w:line="240" w:lineRule="auto"/>
        <w:rPr>
          <w:rFonts w:ascii="Calibri" w:hAnsi="Calibri" w:cs="Calibri"/>
          <w:b/>
          <w:bCs/>
        </w:rPr>
      </w:pPr>
      <w:r w:rsidRPr="0075764E">
        <w:rPr>
          <w:rFonts w:ascii="Calibri" w:hAnsi="Calibri" w:cs="Calibri"/>
          <w:b/>
          <w:bCs/>
        </w:rPr>
        <w:t>Phase I of CCLE</w:t>
      </w:r>
    </w:p>
    <w:p w14:paraId="356EB9F4" w14:textId="77777777" w:rsidR="003928D3" w:rsidRPr="0032607B" w:rsidRDefault="003928D3" w:rsidP="003928D3">
      <w:p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Goal</w:t>
      </w:r>
    </w:p>
    <w:p w14:paraId="73E0A1E0" w14:textId="77777777" w:rsidR="003928D3" w:rsidRPr="0032607B" w:rsidRDefault="003928D3" w:rsidP="003928D3">
      <w:pPr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Characterize genetic and pharmacologic of human cancer models </w:t>
      </w:r>
    </w:p>
    <w:p w14:paraId="0BAEFF38" w14:textId="77777777" w:rsidR="003928D3" w:rsidRPr="0032607B" w:rsidRDefault="003928D3" w:rsidP="003928D3">
      <w:pPr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Develop computational method to analyze the link between pharmacologic characteristics and genetic expression and cell lineage patterns</w:t>
      </w:r>
    </w:p>
    <w:p w14:paraId="5381D019" w14:textId="77777777" w:rsidR="003928D3" w:rsidRPr="0032607B" w:rsidRDefault="003928D3" w:rsidP="003928D3">
      <w:pPr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Translate cell line genomics by categorizing them according to patient stratification</w:t>
      </w:r>
    </w:p>
    <w:p w14:paraId="3619373C" w14:textId="77777777" w:rsidR="003928D3" w:rsidRPr="0032607B" w:rsidRDefault="003928D3" w:rsidP="003928D3">
      <w:p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Material - 1000 cell lines from below cell line repositories</w:t>
      </w:r>
    </w:p>
    <w:p w14:paraId="0068BEB6" w14:textId="77777777" w:rsidR="003928D3" w:rsidRPr="0032607B" w:rsidRDefault="003928D3" w:rsidP="003928D3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ATCC (American Type Culture Collection)</w:t>
      </w:r>
    </w:p>
    <w:p w14:paraId="4D68EB49" w14:textId="77777777" w:rsidR="003928D3" w:rsidRPr="0032607B" w:rsidRDefault="003928D3" w:rsidP="003928D3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 xml:space="preserve">DSMZ (Deutsche </w:t>
      </w:r>
      <w:proofErr w:type="spellStart"/>
      <w:r w:rsidRPr="0032607B">
        <w:rPr>
          <w:rFonts w:ascii="Calibri" w:hAnsi="Calibri" w:cs="Calibri"/>
        </w:rPr>
        <w:t>Sammlung</w:t>
      </w:r>
      <w:proofErr w:type="spellEnd"/>
      <w:r w:rsidRPr="0032607B">
        <w:rPr>
          <w:rFonts w:ascii="Calibri" w:hAnsi="Calibri" w:cs="Calibri"/>
        </w:rPr>
        <w:t xml:space="preserve"> von </w:t>
      </w:r>
      <w:proofErr w:type="spellStart"/>
      <w:r w:rsidRPr="0032607B">
        <w:rPr>
          <w:rFonts w:ascii="Calibri" w:hAnsi="Calibri" w:cs="Calibri"/>
        </w:rPr>
        <w:t>Mikroorganismen</w:t>
      </w:r>
      <w:proofErr w:type="spellEnd"/>
      <w:r w:rsidRPr="0032607B">
        <w:rPr>
          <w:rFonts w:ascii="Calibri" w:hAnsi="Calibri" w:cs="Calibri"/>
        </w:rPr>
        <w:t xml:space="preserve"> und </w:t>
      </w:r>
      <w:proofErr w:type="spellStart"/>
      <w:r w:rsidRPr="0032607B">
        <w:rPr>
          <w:rFonts w:ascii="Calibri" w:hAnsi="Calibri" w:cs="Calibri"/>
        </w:rPr>
        <w:t>Zellkulturen</w:t>
      </w:r>
      <w:proofErr w:type="spellEnd"/>
      <w:r w:rsidRPr="0032607B">
        <w:rPr>
          <w:rFonts w:ascii="Calibri" w:hAnsi="Calibri" w:cs="Calibri"/>
        </w:rPr>
        <w:t>) </w:t>
      </w:r>
    </w:p>
    <w:p w14:paraId="4D173EF0" w14:textId="77777777" w:rsidR="003928D3" w:rsidRPr="0032607B" w:rsidRDefault="003928D3" w:rsidP="003928D3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The KCLB (Korean Cell Line Bank)</w:t>
      </w:r>
    </w:p>
    <w:p w14:paraId="0FD6693D" w14:textId="77777777" w:rsidR="003928D3" w:rsidRPr="0032607B" w:rsidRDefault="003928D3" w:rsidP="003928D3">
      <w:p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Method</w:t>
      </w:r>
    </w:p>
    <w:p w14:paraId="2F8FF9CA" w14:textId="77777777" w:rsidR="003928D3" w:rsidRPr="0032607B" w:rsidRDefault="003928D3" w:rsidP="003928D3">
      <w:pPr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DNA and RNA extraction</w:t>
      </w:r>
    </w:p>
    <w:p w14:paraId="416E8FCD" w14:textId="77777777" w:rsidR="003928D3" w:rsidRPr="0032607B" w:rsidRDefault="003928D3" w:rsidP="003928D3">
      <w:pPr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Generate data</w:t>
      </w:r>
    </w:p>
    <w:p w14:paraId="498F8802" w14:textId="77777777" w:rsidR="003928D3" w:rsidRPr="0032607B" w:rsidRDefault="003928D3" w:rsidP="003928D3">
      <w:pPr>
        <w:numPr>
          <w:ilvl w:val="1"/>
          <w:numId w:val="23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Affymetrix SNP 6.0 data</w:t>
      </w:r>
    </w:p>
    <w:p w14:paraId="22619B15" w14:textId="77777777" w:rsidR="003928D3" w:rsidRPr="0032607B" w:rsidRDefault="003928D3" w:rsidP="003928D3">
      <w:pPr>
        <w:numPr>
          <w:ilvl w:val="1"/>
          <w:numId w:val="23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Affymetrix U133 2.0+ expression array data </w:t>
      </w:r>
    </w:p>
    <w:p w14:paraId="15872CC1" w14:textId="77777777" w:rsidR="003928D3" w:rsidRPr="0032607B" w:rsidRDefault="003928D3" w:rsidP="003928D3">
      <w:pPr>
        <w:numPr>
          <w:ilvl w:val="1"/>
          <w:numId w:val="23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 xml:space="preserve">Point mutation profiles using a SNP genotyping platform called </w:t>
      </w:r>
      <w:proofErr w:type="spellStart"/>
      <w:r w:rsidRPr="0032607B">
        <w:rPr>
          <w:rFonts w:ascii="Calibri" w:hAnsi="Calibri" w:cs="Calibri"/>
        </w:rPr>
        <w:t>OncoMap</w:t>
      </w:r>
      <w:proofErr w:type="spellEnd"/>
      <w:r w:rsidRPr="0032607B">
        <w:rPr>
          <w:rFonts w:ascii="Calibri" w:hAnsi="Calibri" w:cs="Calibri"/>
        </w:rPr>
        <w:t xml:space="preserve"> 3.0.</w:t>
      </w:r>
    </w:p>
    <w:p w14:paraId="7DCC9D75" w14:textId="77777777" w:rsidR="003928D3" w:rsidRPr="0032607B" w:rsidRDefault="003928D3" w:rsidP="003928D3">
      <w:pPr>
        <w:numPr>
          <w:ilvl w:val="1"/>
          <w:numId w:val="23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Hybrid capture exon sequencing of &gt;1600 known </w:t>
      </w:r>
    </w:p>
    <w:p w14:paraId="2DC19E4C" w14:textId="77777777" w:rsidR="003928D3" w:rsidRPr="0032607B" w:rsidRDefault="003928D3" w:rsidP="003928D3">
      <w:pPr>
        <w:numPr>
          <w:ilvl w:val="1"/>
          <w:numId w:val="23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Putative cancer genes </w:t>
      </w:r>
    </w:p>
    <w:p w14:paraId="77E288C5" w14:textId="77777777" w:rsidR="003928D3" w:rsidRPr="0032607B" w:rsidRDefault="003928D3" w:rsidP="003928D3">
      <w:pPr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Pharmacologic testing</w:t>
      </w:r>
    </w:p>
    <w:p w14:paraId="48A5F27D" w14:textId="77777777" w:rsidR="003928D3" w:rsidRPr="0032607B" w:rsidRDefault="003928D3" w:rsidP="003928D3">
      <w:p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Results</w:t>
      </w:r>
    </w:p>
    <w:p w14:paraId="2154883E" w14:textId="77777777" w:rsidR="003928D3" w:rsidRPr="00C514E8" w:rsidRDefault="003928D3" w:rsidP="003928D3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</w:rPr>
      </w:pPr>
      <w:hyperlink r:id="rId7" w:history="1">
        <w:r w:rsidRPr="00C514E8">
          <w:rPr>
            <w:rStyle w:val="Hyperlink"/>
            <w:rFonts w:ascii="Calibri" w:hAnsi="Calibri" w:cs="Calibri"/>
          </w:rPr>
          <w:t>The Cancer Cell Line Encyclopedia enables predictive modelling of anticancer drug sensitivity</w:t>
        </w:r>
      </w:hyperlink>
    </w:p>
    <w:p w14:paraId="42FB7C67" w14:textId="77777777" w:rsidR="003928D3" w:rsidRPr="00C514E8" w:rsidRDefault="003928D3" w:rsidP="003928D3">
      <w:pPr>
        <w:pStyle w:val="ListParagraph"/>
        <w:numPr>
          <w:ilvl w:val="1"/>
          <w:numId w:val="28"/>
        </w:numPr>
        <w:spacing w:line="240" w:lineRule="auto"/>
        <w:rPr>
          <w:rFonts w:ascii="Calibri" w:hAnsi="Calibri" w:cs="Calibri"/>
        </w:rPr>
      </w:pPr>
      <w:r w:rsidRPr="00C514E8">
        <w:rPr>
          <w:rFonts w:ascii="Calibri" w:hAnsi="Calibri" w:cs="Calibri"/>
        </w:rPr>
        <w:t>Nature 2012, Mar 28;483(7391):603-7. DOI: 10.1038/nature11003</w:t>
      </w:r>
    </w:p>
    <w:p w14:paraId="44E05901" w14:textId="77777777" w:rsidR="003928D3" w:rsidRPr="00C514E8" w:rsidRDefault="003928D3" w:rsidP="003928D3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 w:cs="Calibri"/>
        </w:rPr>
      </w:pPr>
      <w:hyperlink r:id="rId8" w:history="1">
        <w:r w:rsidRPr="00C514E8">
          <w:rPr>
            <w:rStyle w:val="Hyperlink"/>
            <w:rFonts w:ascii="Calibri" w:hAnsi="Calibri" w:cs="Calibri"/>
          </w:rPr>
          <w:t>Pharmacogenomic Agreement Between Two Cancer Cell Line Data Sets</w:t>
        </w:r>
      </w:hyperlink>
    </w:p>
    <w:p w14:paraId="6DC3502E" w14:textId="77777777" w:rsidR="003928D3" w:rsidRPr="00C514E8" w:rsidRDefault="003928D3" w:rsidP="003928D3">
      <w:pPr>
        <w:pStyle w:val="ListParagraph"/>
        <w:numPr>
          <w:ilvl w:val="1"/>
          <w:numId w:val="28"/>
        </w:numPr>
        <w:spacing w:line="240" w:lineRule="auto"/>
        <w:rPr>
          <w:rFonts w:ascii="Calibri" w:hAnsi="Calibri" w:cs="Calibri"/>
        </w:rPr>
      </w:pPr>
      <w:r w:rsidRPr="00C514E8">
        <w:rPr>
          <w:rFonts w:ascii="Calibri" w:hAnsi="Calibri" w:cs="Calibri"/>
        </w:rPr>
        <w:t>Nature 2015, Dec 3;528(7580):84-7. DOI:10.1038/nature15736</w:t>
      </w:r>
    </w:p>
    <w:p w14:paraId="78E7E639" w14:textId="77777777" w:rsidR="003928D3" w:rsidRDefault="003928D3" w:rsidP="003928D3">
      <w:pPr>
        <w:spacing w:line="240" w:lineRule="auto"/>
        <w:rPr>
          <w:rFonts w:ascii="Calibri" w:hAnsi="Calibri" w:cs="Calibri"/>
          <w:u w:val="single"/>
        </w:rPr>
      </w:pPr>
    </w:p>
    <w:p w14:paraId="7378201A" w14:textId="77777777" w:rsidR="003928D3" w:rsidRPr="0075764E" w:rsidRDefault="003928D3" w:rsidP="003928D3">
      <w:pPr>
        <w:spacing w:line="240" w:lineRule="auto"/>
        <w:rPr>
          <w:rFonts w:ascii="Calibri" w:hAnsi="Calibri" w:cs="Calibri"/>
          <w:b/>
          <w:bCs/>
        </w:rPr>
      </w:pPr>
      <w:r w:rsidRPr="0075764E">
        <w:rPr>
          <w:rFonts w:ascii="Calibri" w:hAnsi="Calibri" w:cs="Calibri"/>
          <w:b/>
          <w:bCs/>
        </w:rPr>
        <w:t>Phase II of CCLE</w:t>
      </w:r>
    </w:p>
    <w:p w14:paraId="627467F9" w14:textId="77777777" w:rsidR="003928D3" w:rsidRPr="0032607B" w:rsidRDefault="003928D3" w:rsidP="003928D3">
      <w:p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Goal</w:t>
      </w:r>
    </w:p>
    <w:p w14:paraId="26C5B644" w14:textId="77777777" w:rsidR="003928D3" w:rsidRPr="0032607B" w:rsidRDefault="003928D3" w:rsidP="003928D3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Characterize genetic and pharmacologic of human cancer models via NGS</w:t>
      </w:r>
    </w:p>
    <w:p w14:paraId="09EE1D62" w14:textId="77777777" w:rsidR="003928D3" w:rsidRPr="0032607B" w:rsidRDefault="003928D3" w:rsidP="003928D3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Develop computational method to analyze the link between pharmacologic characteristics and genetic expression via NGS and cell lineage patterns</w:t>
      </w:r>
    </w:p>
    <w:p w14:paraId="0EE9E171" w14:textId="77777777" w:rsidR="003928D3" w:rsidRPr="0032607B" w:rsidRDefault="003928D3" w:rsidP="003928D3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Translate cell line genomics via NGS by categorizing them according to patient stratification</w:t>
      </w:r>
    </w:p>
    <w:p w14:paraId="3D7A5F4D" w14:textId="77777777" w:rsidR="003928D3" w:rsidRPr="0032607B" w:rsidRDefault="003928D3" w:rsidP="003928D3">
      <w:p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 xml:space="preserve">Material - 1000 cell lines from below cell line </w:t>
      </w:r>
      <w:proofErr w:type="spellStart"/>
      <w:r w:rsidRPr="0032607B">
        <w:rPr>
          <w:rFonts w:ascii="Calibri" w:hAnsi="Calibri" w:cs="Calibri"/>
        </w:rPr>
        <w:t>repositoris</w:t>
      </w:r>
      <w:proofErr w:type="spellEnd"/>
    </w:p>
    <w:p w14:paraId="1AA6F01B" w14:textId="77777777" w:rsidR="003928D3" w:rsidRPr="0032607B" w:rsidRDefault="003928D3" w:rsidP="003928D3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ATCC (American Type Culture Collection)</w:t>
      </w:r>
    </w:p>
    <w:p w14:paraId="1155FB33" w14:textId="77777777" w:rsidR="003928D3" w:rsidRPr="0032607B" w:rsidRDefault="003928D3" w:rsidP="003928D3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 xml:space="preserve">DSMZ (Deutsche </w:t>
      </w:r>
      <w:proofErr w:type="spellStart"/>
      <w:r w:rsidRPr="0032607B">
        <w:rPr>
          <w:rFonts w:ascii="Calibri" w:hAnsi="Calibri" w:cs="Calibri"/>
        </w:rPr>
        <w:t>Sammlung</w:t>
      </w:r>
      <w:proofErr w:type="spellEnd"/>
      <w:r w:rsidRPr="0032607B">
        <w:rPr>
          <w:rFonts w:ascii="Calibri" w:hAnsi="Calibri" w:cs="Calibri"/>
        </w:rPr>
        <w:t xml:space="preserve"> von </w:t>
      </w:r>
      <w:proofErr w:type="spellStart"/>
      <w:r w:rsidRPr="0032607B">
        <w:rPr>
          <w:rFonts w:ascii="Calibri" w:hAnsi="Calibri" w:cs="Calibri"/>
        </w:rPr>
        <w:t>Mikroorganismen</w:t>
      </w:r>
      <w:proofErr w:type="spellEnd"/>
      <w:r w:rsidRPr="0032607B">
        <w:rPr>
          <w:rFonts w:ascii="Calibri" w:hAnsi="Calibri" w:cs="Calibri"/>
        </w:rPr>
        <w:t xml:space="preserve"> und </w:t>
      </w:r>
      <w:proofErr w:type="spellStart"/>
      <w:r w:rsidRPr="0032607B">
        <w:rPr>
          <w:rFonts w:ascii="Calibri" w:hAnsi="Calibri" w:cs="Calibri"/>
        </w:rPr>
        <w:t>Zellkulturen</w:t>
      </w:r>
      <w:proofErr w:type="spellEnd"/>
      <w:r w:rsidRPr="0032607B">
        <w:rPr>
          <w:rFonts w:ascii="Calibri" w:hAnsi="Calibri" w:cs="Calibri"/>
        </w:rPr>
        <w:t>) </w:t>
      </w:r>
    </w:p>
    <w:p w14:paraId="2A92A0A1" w14:textId="77777777" w:rsidR="003928D3" w:rsidRPr="0032607B" w:rsidRDefault="003928D3" w:rsidP="003928D3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The KCLB (Korean Cell Line Bank)</w:t>
      </w:r>
    </w:p>
    <w:p w14:paraId="562916CE" w14:textId="77777777" w:rsidR="003928D3" w:rsidRPr="0032607B" w:rsidRDefault="003928D3" w:rsidP="003928D3">
      <w:p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Method</w:t>
      </w:r>
    </w:p>
    <w:p w14:paraId="015CC045" w14:textId="77777777" w:rsidR="003928D3" w:rsidRPr="0032607B" w:rsidRDefault="003928D3" w:rsidP="003928D3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RNA-seq</w:t>
      </w:r>
    </w:p>
    <w:p w14:paraId="5E48CBF7" w14:textId="77777777" w:rsidR="003928D3" w:rsidRPr="0032607B" w:rsidRDefault="003928D3" w:rsidP="003928D3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Exome sequencing</w:t>
      </w:r>
    </w:p>
    <w:p w14:paraId="29C5A5B7" w14:textId="77777777" w:rsidR="003928D3" w:rsidRPr="0032607B" w:rsidRDefault="003928D3" w:rsidP="003928D3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miRNA content of all cell lines</w:t>
      </w:r>
    </w:p>
    <w:p w14:paraId="1E731A66" w14:textId="77777777" w:rsidR="003928D3" w:rsidRPr="0032607B" w:rsidRDefault="003928D3" w:rsidP="003928D3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 xml:space="preserve">Quantifying the metabolite abundance of 225 </w:t>
      </w:r>
      <w:proofErr w:type="spellStart"/>
      <w:r w:rsidRPr="0032607B">
        <w:rPr>
          <w:rFonts w:ascii="Calibri" w:hAnsi="Calibri" w:cs="Calibri"/>
        </w:rPr>
        <w:t>metaboliates</w:t>
      </w:r>
      <w:proofErr w:type="spellEnd"/>
      <w:r w:rsidRPr="0032607B">
        <w:rPr>
          <w:rFonts w:ascii="Calibri" w:hAnsi="Calibri" w:cs="Calibri"/>
        </w:rPr>
        <w:t xml:space="preserve"> across CCLE</w:t>
      </w:r>
    </w:p>
    <w:p w14:paraId="40C88862" w14:textId="77777777" w:rsidR="003928D3" w:rsidRPr="0032607B" w:rsidRDefault="003928D3" w:rsidP="003928D3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Mass Reaction Monitoring (MRM) mass spec quantification of bulk Histone H3 tail modifications</w:t>
      </w:r>
    </w:p>
    <w:p w14:paraId="6824DC75" w14:textId="77777777" w:rsidR="003928D3" w:rsidRPr="0032607B" w:rsidRDefault="003928D3" w:rsidP="003928D3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 xml:space="preserve">Reverse phase protein </w:t>
      </w:r>
      <w:proofErr w:type="spellStart"/>
      <w:r w:rsidRPr="0032607B">
        <w:rPr>
          <w:rFonts w:ascii="Calibri" w:hAnsi="Calibri" w:cs="Calibri"/>
        </w:rPr>
        <w:t>arrya</w:t>
      </w:r>
      <w:proofErr w:type="spellEnd"/>
      <w:r w:rsidRPr="0032607B">
        <w:rPr>
          <w:rFonts w:ascii="Calibri" w:hAnsi="Calibri" w:cs="Calibri"/>
        </w:rPr>
        <w:t xml:space="preserve"> analysis with MD Anderson</w:t>
      </w:r>
    </w:p>
    <w:p w14:paraId="692A71EF" w14:textId="77777777" w:rsidR="003928D3" w:rsidRPr="0032607B" w:rsidRDefault="003928D3" w:rsidP="003928D3">
      <w:p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Results</w:t>
      </w:r>
      <w:r>
        <w:rPr>
          <w:rFonts w:ascii="Calibri" w:hAnsi="Calibri" w:cs="Calibri"/>
        </w:rPr>
        <w:t xml:space="preserve"> (</w:t>
      </w:r>
      <w:r w:rsidRPr="00D01657">
        <w:rPr>
          <w:rFonts w:ascii="Calibri" w:hAnsi="Calibri" w:cs="Calibri"/>
        </w:rPr>
        <w:t>Link cancer metabolome to genetic alterations, epigenetic features and gene dependencies</w:t>
      </w:r>
      <w:r>
        <w:rPr>
          <w:rFonts w:ascii="Calibri" w:hAnsi="Calibri" w:cs="Calibri"/>
        </w:rPr>
        <w:t>)</w:t>
      </w:r>
    </w:p>
    <w:p w14:paraId="1C61BA37" w14:textId="77777777" w:rsidR="003928D3" w:rsidRPr="00C514E8" w:rsidRDefault="003928D3" w:rsidP="003928D3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 w:cs="Calibri"/>
        </w:rPr>
      </w:pPr>
      <w:hyperlink r:id="rId9" w:history="1">
        <w:r w:rsidRPr="00C514E8">
          <w:rPr>
            <w:rStyle w:val="Hyperlink"/>
            <w:rFonts w:ascii="Calibri" w:hAnsi="Calibri" w:cs="Calibri"/>
          </w:rPr>
          <w:t>Global chromatin profiling reveals NSD2 mutations in pediatric acute lymphoblastic leukemia</w:t>
        </w:r>
      </w:hyperlink>
    </w:p>
    <w:p w14:paraId="6C318208" w14:textId="77777777" w:rsidR="003928D3" w:rsidRPr="00D01657" w:rsidRDefault="003928D3" w:rsidP="003928D3">
      <w:pPr>
        <w:pStyle w:val="ListParagraph"/>
        <w:numPr>
          <w:ilvl w:val="1"/>
          <w:numId w:val="29"/>
        </w:numPr>
        <w:spacing w:line="240" w:lineRule="auto"/>
        <w:rPr>
          <w:rFonts w:ascii="Calibri" w:hAnsi="Calibri" w:cs="Calibri"/>
        </w:rPr>
      </w:pPr>
      <w:r w:rsidRPr="00D01657">
        <w:rPr>
          <w:rFonts w:ascii="Calibri" w:hAnsi="Calibri" w:cs="Calibri"/>
        </w:rPr>
        <w:t>Nat Genet. 2013 Nov;45(11):1386-91. DOI: 10.1038/ng.2777</w:t>
      </w:r>
    </w:p>
    <w:p w14:paraId="425653A2" w14:textId="77777777" w:rsidR="003928D3" w:rsidRPr="00C514E8" w:rsidRDefault="003928D3" w:rsidP="003928D3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 w:cs="Calibri"/>
        </w:rPr>
      </w:pPr>
      <w:hyperlink r:id="rId10" w:history="1">
        <w:r w:rsidRPr="00C514E8">
          <w:rPr>
            <w:rStyle w:val="Hyperlink"/>
            <w:rFonts w:ascii="Calibri" w:hAnsi="Calibri" w:cs="Calibri"/>
          </w:rPr>
          <w:t>Next-generation characterization of the Cancer Cell Line Encyclopedia</w:t>
        </w:r>
      </w:hyperlink>
    </w:p>
    <w:p w14:paraId="04D348E5" w14:textId="77777777" w:rsidR="003928D3" w:rsidRPr="00D01657" w:rsidRDefault="003928D3" w:rsidP="003928D3">
      <w:pPr>
        <w:pStyle w:val="ListParagraph"/>
        <w:numPr>
          <w:ilvl w:val="1"/>
          <w:numId w:val="29"/>
        </w:numPr>
        <w:spacing w:line="240" w:lineRule="auto"/>
        <w:rPr>
          <w:rFonts w:ascii="Calibri" w:hAnsi="Calibri" w:cs="Calibri"/>
        </w:rPr>
      </w:pPr>
      <w:r w:rsidRPr="00D01657">
        <w:rPr>
          <w:rFonts w:ascii="Calibri" w:hAnsi="Calibri" w:cs="Calibri"/>
        </w:rPr>
        <w:t xml:space="preserve">Nature. 2019 May;569(7757):503-508. DOI: 10.1038/s41586-019-1186-3. </w:t>
      </w:r>
      <w:proofErr w:type="spellStart"/>
      <w:r w:rsidRPr="00D01657">
        <w:rPr>
          <w:rFonts w:ascii="Calibri" w:hAnsi="Calibri" w:cs="Calibri"/>
        </w:rPr>
        <w:t>Epub</w:t>
      </w:r>
      <w:proofErr w:type="spellEnd"/>
      <w:r w:rsidRPr="00D01657">
        <w:rPr>
          <w:rFonts w:ascii="Calibri" w:hAnsi="Calibri" w:cs="Calibri"/>
        </w:rPr>
        <w:t xml:space="preserve"> 2019 May 8.</w:t>
      </w:r>
    </w:p>
    <w:p w14:paraId="38A020E7" w14:textId="77777777" w:rsidR="003928D3" w:rsidRPr="00C514E8" w:rsidRDefault="003928D3" w:rsidP="003928D3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 w:cs="Calibri"/>
        </w:rPr>
      </w:pPr>
      <w:hyperlink r:id="rId11" w:history="1">
        <w:r w:rsidRPr="00C514E8">
          <w:rPr>
            <w:rStyle w:val="Hyperlink"/>
            <w:rFonts w:ascii="Calibri" w:hAnsi="Calibri" w:cs="Calibri"/>
          </w:rPr>
          <w:t>The landscape of cancer cell line metabolism</w:t>
        </w:r>
      </w:hyperlink>
    </w:p>
    <w:p w14:paraId="721B2218" w14:textId="77777777" w:rsidR="003928D3" w:rsidRPr="00C514E8" w:rsidRDefault="003928D3" w:rsidP="003928D3">
      <w:pPr>
        <w:pStyle w:val="ListParagraph"/>
        <w:numPr>
          <w:ilvl w:val="1"/>
          <w:numId w:val="29"/>
        </w:numPr>
        <w:spacing w:line="240" w:lineRule="auto"/>
        <w:rPr>
          <w:rFonts w:ascii="Calibri" w:hAnsi="Calibri" w:cs="Calibri"/>
        </w:rPr>
      </w:pPr>
      <w:r w:rsidRPr="00C514E8">
        <w:rPr>
          <w:rFonts w:ascii="Calibri" w:hAnsi="Calibri" w:cs="Calibri"/>
        </w:rPr>
        <w:t xml:space="preserve">Nat Med. 2019 May;25(5):850-860 DOI: 10.1038/s41591-019-0404-8. </w:t>
      </w:r>
      <w:proofErr w:type="spellStart"/>
      <w:r w:rsidRPr="00C514E8">
        <w:rPr>
          <w:rFonts w:ascii="Calibri" w:hAnsi="Calibri" w:cs="Calibri"/>
        </w:rPr>
        <w:t>Epub</w:t>
      </w:r>
      <w:proofErr w:type="spellEnd"/>
      <w:r w:rsidRPr="00C514E8">
        <w:rPr>
          <w:rFonts w:ascii="Calibri" w:hAnsi="Calibri" w:cs="Calibri"/>
        </w:rPr>
        <w:t xml:space="preserve"> 2019 May 8.</w:t>
      </w:r>
    </w:p>
    <w:p w14:paraId="15F7ED4E" w14:textId="77777777" w:rsidR="003928D3" w:rsidRPr="0032607B" w:rsidRDefault="003928D3" w:rsidP="003928D3">
      <w:pPr>
        <w:spacing w:line="240" w:lineRule="auto"/>
        <w:rPr>
          <w:rFonts w:ascii="Calibri" w:hAnsi="Calibri" w:cs="Calibri"/>
        </w:rPr>
      </w:pPr>
    </w:p>
    <w:p w14:paraId="6357831B" w14:textId="77777777" w:rsidR="003928D3" w:rsidRPr="0075764E" w:rsidRDefault="003928D3" w:rsidP="003928D3">
      <w:pPr>
        <w:spacing w:line="240" w:lineRule="auto"/>
        <w:rPr>
          <w:rFonts w:ascii="Calibri" w:hAnsi="Calibri" w:cs="Calibri"/>
          <w:b/>
          <w:bCs/>
        </w:rPr>
      </w:pPr>
      <w:r w:rsidRPr="0075764E">
        <w:rPr>
          <w:rFonts w:ascii="Calibri" w:hAnsi="Calibri" w:cs="Calibri"/>
          <w:b/>
          <w:bCs/>
        </w:rPr>
        <w:t>Phase III of CCLE</w:t>
      </w:r>
    </w:p>
    <w:p w14:paraId="2F4D7E5F" w14:textId="77777777" w:rsidR="003928D3" w:rsidRPr="0032607B" w:rsidRDefault="003928D3" w:rsidP="003928D3">
      <w:p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Goal</w:t>
      </w:r>
    </w:p>
    <w:p w14:paraId="4AF5DB00" w14:textId="77777777" w:rsidR="003928D3" w:rsidRPr="0032607B" w:rsidRDefault="003928D3" w:rsidP="003928D3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Characterize genetic and pharmacologic of human cancer models via NGS</w:t>
      </w:r>
    </w:p>
    <w:p w14:paraId="54DF7CB2" w14:textId="77777777" w:rsidR="003928D3" w:rsidRPr="0032607B" w:rsidRDefault="003928D3" w:rsidP="003928D3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Develop computational method to analyze the link between pharmacologic characteristics and genetic expression via NGS and cell lineage patterns</w:t>
      </w:r>
    </w:p>
    <w:p w14:paraId="1CBF8F82" w14:textId="77777777" w:rsidR="003928D3" w:rsidRPr="0032607B" w:rsidRDefault="003928D3" w:rsidP="003928D3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Translate cell line genomics via NGS by categorizing them according to patient stratification</w:t>
      </w:r>
    </w:p>
    <w:p w14:paraId="7BF135B4" w14:textId="77777777" w:rsidR="003928D3" w:rsidRPr="0032607B" w:rsidRDefault="003928D3" w:rsidP="003928D3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Understand the protein content of cell lines</w:t>
      </w:r>
    </w:p>
    <w:p w14:paraId="6FA64588" w14:textId="77777777" w:rsidR="003928D3" w:rsidRPr="0032607B" w:rsidRDefault="003928D3" w:rsidP="003928D3">
      <w:p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 xml:space="preserve">Material - 1000 cell lines from below cell line </w:t>
      </w:r>
      <w:proofErr w:type="spellStart"/>
      <w:r w:rsidRPr="0032607B">
        <w:rPr>
          <w:rFonts w:ascii="Calibri" w:hAnsi="Calibri" w:cs="Calibri"/>
        </w:rPr>
        <w:t>repositoris</w:t>
      </w:r>
      <w:proofErr w:type="spellEnd"/>
    </w:p>
    <w:p w14:paraId="58C65815" w14:textId="77777777" w:rsidR="003928D3" w:rsidRPr="0032607B" w:rsidRDefault="003928D3" w:rsidP="003928D3">
      <w:pPr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ATCC (American Type Culture Collection)</w:t>
      </w:r>
    </w:p>
    <w:p w14:paraId="4C2E0A33" w14:textId="77777777" w:rsidR="003928D3" w:rsidRPr="0032607B" w:rsidRDefault="003928D3" w:rsidP="003928D3">
      <w:pPr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 xml:space="preserve">DSMZ (Deutsche </w:t>
      </w:r>
      <w:proofErr w:type="spellStart"/>
      <w:r w:rsidRPr="0032607B">
        <w:rPr>
          <w:rFonts w:ascii="Calibri" w:hAnsi="Calibri" w:cs="Calibri"/>
        </w:rPr>
        <w:t>Sammlung</w:t>
      </w:r>
      <w:proofErr w:type="spellEnd"/>
      <w:r w:rsidRPr="0032607B">
        <w:rPr>
          <w:rFonts w:ascii="Calibri" w:hAnsi="Calibri" w:cs="Calibri"/>
        </w:rPr>
        <w:t xml:space="preserve"> von </w:t>
      </w:r>
      <w:proofErr w:type="spellStart"/>
      <w:r w:rsidRPr="0032607B">
        <w:rPr>
          <w:rFonts w:ascii="Calibri" w:hAnsi="Calibri" w:cs="Calibri"/>
        </w:rPr>
        <w:t>Mikroorganismen</w:t>
      </w:r>
      <w:proofErr w:type="spellEnd"/>
      <w:r w:rsidRPr="0032607B">
        <w:rPr>
          <w:rFonts w:ascii="Calibri" w:hAnsi="Calibri" w:cs="Calibri"/>
        </w:rPr>
        <w:t xml:space="preserve"> und </w:t>
      </w:r>
      <w:proofErr w:type="spellStart"/>
      <w:r w:rsidRPr="0032607B">
        <w:rPr>
          <w:rFonts w:ascii="Calibri" w:hAnsi="Calibri" w:cs="Calibri"/>
        </w:rPr>
        <w:t>Zellkulturen</w:t>
      </w:r>
      <w:proofErr w:type="spellEnd"/>
      <w:r w:rsidRPr="0032607B">
        <w:rPr>
          <w:rFonts w:ascii="Calibri" w:hAnsi="Calibri" w:cs="Calibri"/>
        </w:rPr>
        <w:t>) </w:t>
      </w:r>
    </w:p>
    <w:p w14:paraId="1D4A27F0" w14:textId="77777777" w:rsidR="003928D3" w:rsidRPr="0032607B" w:rsidRDefault="003928D3" w:rsidP="003928D3">
      <w:pPr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The KCLB (Korean Cell Line Bank)</w:t>
      </w:r>
    </w:p>
    <w:p w14:paraId="40EADAC2" w14:textId="77777777" w:rsidR="003928D3" w:rsidRPr="0032607B" w:rsidRDefault="003928D3" w:rsidP="003928D3">
      <w:p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Method</w:t>
      </w:r>
    </w:p>
    <w:p w14:paraId="0CD723A4" w14:textId="77777777" w:rsidR="003928D3" w:rsidRPr="0032607B" w:rsidRDefault="003928D3" w:rsidP="003928D3">
      <w:pPr>
        <w:numPr>
          <w:ilvl w:val="0"/>
          <w:numId w:val="16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Interrupt or alternating protein function with </w:t>
      </w:r>
    </w:p>
    <w:p w14:paraId="347EF1EB" w14:textId="77777777" w:rsidR="003928D3" w:rsidRPr="0032607B" w:rsidRDefault="003928D3" w:rsidP="003928D3">
      <w:pPr>
        <w:numPr>
          <w:ilvl w:val="1"/>
          <w:numId w:val="24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Antibody-drug conjugates</w:t>
      </w:r>
    </w:p>
    <w:p w14:paraId="051385B6" w14:textId="77777777" w:rsidR="003928D3" w:rsidRPr="0032607B" w:rsidRDefault="003928D3" w:rsidP="003928D3">
      <w:pPr>
        <w:numPr>
          <w:ilvl w:val="1"/>
          <w:numId w:val="24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Antibody mediated cellular cytotoxicity (ADCC)</w:t>
      </w:r>
    </w:p>
    <w:p w14:paraId="58FD5994" w14:textId="77777777" w:rsidR="003928D3" w:rsidRPr="0032607B" w:rsidRDefault="003928D3" w:rsidP="003928D3">
      <w:pPr>
        <w:numPr>
          <w:ilvl w:val="1"/>
          <w:numId w:val="24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CART-T cells</w:t>
      </w:r>
    </w:p>
    <w:p w14:paraId="0A626107" w14:textId="77777777" w:rsidR="003928D3" w:rsidRPr="0032607B" w:rsidRDefault="003928D3" w:rsidP="003928D3">
      <w:pPr>
        <w:numPr>
          <w:ilvl w:val="0"/>
          <w:numId w:val="16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Quantify the abundance of proteins by performing Tandem-mass tagging mass spectrometry</w:t>
      </w:r>
    </w:p>
    <w:p w14:paraId="7B311059" w14:textId="77777777" w:rsidR="003928D3" w:rsidRPr="0032607B" w:rsidRDefault="003928D3" w:rsidP="003928D3">
      <w:pPr>
        <w:numPr>
          <w:ilvl w:val="1"/>
          <w:numId w:val="25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 xml:space="preserve">serine/threonine phosphorylation events were quantified by </w:t>
      </w:r>
      <w:proofErr w:type="spellStart"/>
      <w:r w:rsidRPr="0032607B">
        <w:rPr>
          <w:rFonts w:ascii="Calibri" w:hAnsi="Calibri" w:cs="Calibri"/>
        </w:rPr>
        <w:t>cxxxxx</w:t>
      </w:r>
      <w:proofErr w:type="spellEnd"/>
    </w:p>
    <w:p w14:paraId="244D1920" w14:textId="77777777" w:rsidR="003928D3" w:rsidRPr="0032607B" w:rsidRDefault="003928D3" w:rsidP="003928D3">
      <w:pPr>
        <w:numPr>
          <w:ilvl w:val="1"/>
          <w:numId w:val="25"/>
        </w:num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 tyrosine phosphorylation was quantified in a small set of cell lines under conditions, by Carr Mass Spectrometry platform at the Broad Institute</w:t>
      </w:r>
    </w:p>
    <w:p w14:paraId="3CC99E97" w14:textId="77777777" w:rsidR="003928D3" w:rsidRPr="0032607B" w:rsidRDefault="003928D3" w:rsidP="003928D3">
      <w:pPr>
        <w:spacing w:line="240" w:lineRule="auto"/>
        <w:rPr>
          <w:rFonts w:ascii="Calibri" w:hAnsi="Calibri" w:cs="Calibri"/>
        </w:rPr>
      </w:pPr>
      <w:r w:rsidRPr="0032607B">
        <w:rPr>
          <w:rFonts w:ascii="Calibri" w:hAnsi="Calibri" w:cs="Calibri"/>
        </w:rPr>
        <w:t>Results</w:t>
      </w:r>
    </w:p>
    <w:p w14:paraId="1DD5E904" w14:textId="77777777" w:rsidR="003928D3" w:rsidRPr="00D01657" w:rsidRDefault="003928D3" w:rsidP="003928D3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</w:rPr>
      </w:pPr>
      <w:hyperlink r:id="rId12" w:history="1">
        <w:r w:rsidRPr="00D01657">
          <w:rPr>
            <w:rStyle w:val="Hyperlink"/>
            <w:rFonts w:ascii="Calibri" w:hAnsi="Calibri" w:cs="Calibri"/>
          </w:rPr>
          <w:t>Quantitative Proteomics of the Cancer Cell Line Encyclopedia</w:t>
        </w:r>
      </w:hyperlink>
    </w:p>
    <w:p w14:paraId="3258EFFB" w14:textId="77777777" w:rsidR="003928D3" w:rsidRPr="00D01657" w:rsidRDefault="003928D3" w:rsidP="003928D3">
      <w:pPr>
        <w:pStyle w:val="ListParagraph"/>
        <w:numPr>
          <w:ilvl w:val="1"/>
          <w:numId w:val="30"/>
        </w:numPr>
        <w:spacing w:line="240" w:lineRule="auto"/>
        <w:rPr>
          <w:rFonts w:ascii="Calibri" w:hAnsi="Calibri" w:cs="Calibri"/>
        </w:rPr>
      </w:pPr>
      <w:r w:rsidRPr="00D01657">
        <w:rPr>
          <w:rFonts w:ascii="Calibri" w:hAnsi="Calibri" w:cs="Calibri"/>
        </w:rPr>
        <w:t xml:space="preserve">Cell. 2020;180(2):387‐402.e16. </w:t>
      </w:r>
      <w:proofErr w:type="gramStart"/>
      <w:r w:rsidRPr="00D01657">
        <w:rPr>
          <w:rFonts w:ascii="Calibri" w:hAnsi="Calibri" w:cs="Calibri"/>
        </w:rPr>
        <w:t>DOI:10.1016/j.cell</w:t>
      </w:r>
      <w:proofErr w:type="gramEnd"/>
      <w:r w:rsidRPr="00D01657">
        <w:rPr>
          <w:rFonts w:ascii="Calibri" w:hAnsi="Calibri" w:cs="Calibri"/>
        </w:rPr>
        <w:t>.2019.12.023</w:t>
      </w:r>
    </w:p>
    <w:p w14:paraId="18FB4C7F" w14:textId="77777777" w:rsidR="003928D3" w:rsidRPr="00D01657" w:rsidRDefault="003928D3" w:rsidP="003928D3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 w:cs="Calibri"/>
        </w:rPr>
      </w:pPr>
      <w:hyperlink r:id="rId13" w:history="1">
        <w:r w:rsidRPr="00D01657">
          <w:rPr>
            <w:rStyle w:val="Hyperlink"/>
            <w:rFonts w:ascii="Calibri" w:hAnsi="Calibri" w:cs="Calibri"/>
          </w:rPr>
          <w:t>Video Lecture: Cell atlases as roadmaps to understand and treat cancer by Dr. Aviv Regev</w:t>
        </w:r>
      </w:hyperlink>
    </w:p>
    <w:p w14:paraId="422E13D2" w14:textId="77777777" w:rsidR="003928D3" w:rsidRDefault="003928D3" w:rsidP="00E02AA0">
      <w:pPr>
        <w:spacing w:line="240" w:lineRule="auto"/>
        <w:rPr>
          <w:rFonts w:ascii="Calibri" w:hAnsi="Calibri" w:cs="Calibri"/>
        </w:rPr>
      </w:pPr>
    </w:p>
    <w:p w14:paraId="60EA132C" w14:textId="4D95178B" w:rsidR="003928D3" w:rsidRPr="0075764E" w:rsidRDefault="003928D3" w:rsidP="00E02AA0">
      <w:pPr>
        <w:spacing w:line="240" w:lineRule="auto"/>
        <w:rPr>
          <w:rFonts w:ascii="Calibri" w:hAnsi="Calibri" w:cs="Calibri"/>
          <w:b/>
          <w:bCs/>
          <w:u w:val="single"/>
        </w:rPr>
      </w:pPr>
      <w:r w:rsidRPr="0075764E">
        <w:rPr>
          <w:rFonts w:ascii="Calibri" w:hAnsi="Calibri" w:cs="Calibri"/>
          <w:b/>
          <w:bCs/>
          <w:u w:val="single"/>
        </w:rPr>
        <w:t>Bonus questions</w:t>
      </w:r>
    </w:p>
    <w:p w14:paraId="5601B704" w14:textId="6EE12ABD" w:rsidR="00E02AA0" w:rsidRPr="003928D3" w:rsidRDefault="00E02AA0" w:rsidP="00E02AA0">
      <w:pPr>
        <w:spacing w:line="240" w:lineRule="auto"/>
        <w:rPr>
          <w:rFonts w:ascii="Calibri" w:hAnsi="Calibri" w:cs="Calibri"/>
          <w:b/>
          <w:bCs/>
          <w:i/>
          <w:iCs/>
        </w:rPr>
      </w:pPr>
      <w:r w:rsidRPr="003928D3">
        <w:rPr>
          <w:rFonts w:ascii="Calibri" w:hAnsi="Calibri" w:cs="Calibri"/>
          <w:b/>
          <w:bCs/>
          <w:i/>
          <w:iCs/>
        </w:rPr>
        <w:t>How is HER2 positive protein being targeted with tumor heterogeneity?</w:t>
      </w:r>
    </w:p>
    <w:p w14:paraId="0D74D999" w14:textId="77777777" w:rsidR="00FD2AC8" w:rsidRPr="00FD2AC8" w:rsidRDefault="00FD2AC8" w:rsidP="00FD2AC8">
      <w:pPr>
        <w:spacing w:line="240" w:lineRule="auto"/>
        <w:rPr>
          <w:rFonts w:ascii="Calibri" w:hAnsi="Calibri" w:cs="Calibri"/>
          <w:b/>
          <w:bCs/>
          <w:i/>
          <w:iCs/>
        </w:rPr>
      </w:pPr>
    </w:p>
    <w:p w14:paraId="002CC8D8" w14:textId="6B004E5A" w:rsidR="00FD2AC8" w:rsidRPr="00FD2AC8" w:rsidRDefault="00FD2AC8" w:rsidP="00FD2AC8">
      <w:pPr>
        <w:spacing w:line="240" w:lineRule="auto"/>
        <w:rPr>
          <w:rFonts w:ascii="Calibri" w:hAnsi="Calibri" w:cs="Calibri"/>
          <w:b/>
          <w:bCs/>
          <w:i/>
          <w:iCs/>
        </w:rPr>
      </w:pPr>
      <w:r w:rsidRPr="00FD2AC8">
        <w:rPr>
          <w:rFonts w:ascii="Calibri" w:hAnsi="Calibri" w:cs="Calibri"/>
          <w:b/>
          <w:bCs/>
          <w:i/>
          <w:iCs/>
        </w:rPr>
        <w:lastRenderedPageBreak/>
        <w:t>Could you clarify how the mechanisms of action of these two antibodies are different?</w:t>
      </w:r>
    </w:p>
    <w:sectPr w:rsidR="00FD2AC8" w:rsidRPr="00FD2AC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03808" w14:textId="77777777" w:rsidR="00191659" w:rsidRDefault="00191659" w:rsidP="00034AC2">
      <w:pPr>
        <w:spacing w:after="0" w:line="240" w:lineRule="auto"/>
      </w:pPr>
      <w:r>
        <w:separator/>
      </w:r>
    </w:p>
  </w:endnote>
  <w:endnote w:type="continuationSeparator" w:id="0">
    <w:p w14:paraId="4E4BB684" w14:textId="77777777" w:rsidR="00191659" w:rsidRDefault="00191659" w:rsidP="00034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13C69" w14:textId="77777777" w:rsidR="00191659" w:rsidRDefault="00191659" w:rsidP="00034AC2">
      <w:pPr>
        <w:spacing w:after="0" w:line="240" w:lineRule="auto"/>
      </w:pPr>
      <w:r>
        <w:separator/>
      </w:r>
    </w:p>
  </w:footnote>
  <w:footnote w:type="continuationSeparator" w:id="0">
    <w:p w14:paraId="6783D324" w14:textId="77777777" w:rsidR="00191659" w:rsidRDefault="00191659" w:rsidP="00034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7EC10" w14:textId="147E2F4D" w:rsidR="00034AC2" w:rsidRDefault="00034AC2">
    <w:pPr>
      <w:pStyle w:val="Header"/>
    </w:pPr>
    <w:r>
      <w:t xml:space="preserve">Figure One Lab: Week </w:t>
    </w:r>
    <w:r w:rsidR="00D84324">
      <w:t>1</w:t>
    </w:r>
    <w:r>
      <w:t>-</w:t>
    </w:r>
    <w:r w:rsidR="00D84324">
      <w:t>Fall</w:t>
    </w:r>
    <w:r>
      <w:t xml:space="preserve"> 2024</w:t>
    </w:r>
    <w:r>
      <w:tab/>
    </w:r>
    <w:r>
      <w:tab/>
      <w:t>Maggie Huang</w:t>
    </w:r>
  </w:p>
  <w:p w14:paraId="0BA49BE5" w14:textId="77777777" w:rsidR="00034AC2" w:rsidRDefault="00034A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E95"/>
    <w:multiLevelType w:val="hybridMultilevel"/>
    <w:tmpl w:val="3BC4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53041"/>
    <w:multiLevelType w:val="hybridMultilevel"/>
    <w:tmpl w:val="EEA6E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7A88"/>
    <w:multiLevelType w:val="multilevel"/>
    <w:tmpl w:val="EB16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F587F"/>
    <w:multiLevelType w:val="hybridMultilevel"/>
    <w:tmpl w:val="79F08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94507"/>
    <w:multiLevelType w:val="multilevel"/>
    <w:tmpl w:val="B902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95706"/>
    <w:multiLevelType w:val="hybridMultilevel"/>
    <w:tmpl w:val="8ECC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0094A"/>
    <w:multiLevelType w:val="multilevel"/>
    <w:tmpl w:val="F97C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16A50"/>
    <w:multiLevelType w:val="multilevel"/>
    <w:tmpl w:val="B93E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C69B4"/>
    <w:multiLevelType w:val="multilevel"/>
    <w:tmpl w:val="F3B8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033D7"/>
    <w:multiLevelType w:val="hybridMultilevel"/>
    <w:tmpl w:val="DDF49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34094"/>
    <w:multiLevelType w:val="multilevel"/>
    <w:tmpl w:val="6474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62D6C"/>
    <w:multiLevelType w:val="multilevel"/>
    <w:tmpl w:val="85F6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305B5F"/>
    <w:multiLevelType w:val="multilevel"/>
    <w:tmpl w:val="28DE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8E3404"/>
    <w:multiLevelType w:val="hybridMultilevel"/>
    <w:tmpl w:val="77DC9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F6261"/>
    <w:multiLevelType w:val="hybridMultilevel"/>
    <w:tmpl w:val="03BED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A7C6C"/>
    <w:multiLevelType w:val="hybridMultilevel"/>
    <w:tmpl w:val="3F6C8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938D1"/>
    <w:multiLevelType w:val="multilevel"/>
    <w:tmpl w:val="D8BE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E554E2"/>
    <w:multiLevelType w:val="multilevel"/>
    <w:tmpl w:val="710A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4C2E3C"/>
    <w:multiLevelType w:val="multilevel"/>
    <w:tmpl w:val="D588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0F11CF"/>
    <w:multiLevelType w:val="multilevel"/>
    <w:tmpl w:val="C1C2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012955">
    <w:abstractNumId w:val="19"/>
  </w:num>
  <w:num w:numId="2" w16cid:durableId="1757362837">
    <w:abstractNumId w:val="5"/>
  </w:num>
  <w:num w:numId="3" w16cid:durableId="180557371">
    <w:abstractNumId w:val="16"/>
  </w:num>
  <w:num w:numId="4" w16cid:durableId="752121497">
    <w:abstractNumId w:val="2"/>
  </w:num>
  <w:num w:numId="5" w16cid:durableId="1990203930">
    <w:abstractNumId w:val="8"/>
  </w:num>
  <w:num w:numId="6" w16cid:durableId="125634592">
    <w:abstractNumId w:val="8"/>
    <w:lvlOverride w:ilvl="1">
      <w:lvl w:ilvl="1">
        <w:numFmt w:val="lowerLetter"/>
        <w:lvlText w:val="%2."/>
        <w:lvlJc w:val="left"/>
      </w:lvl>
    </w:lvlOverride>
  </w:num>
  <w:num w:numId="7" w16cid:durableId="422847145">
    <w:abstractNumId w:val="8"/>
    <w:lvlOverride w:ilvl="1">
      <w:lvl w:ilvl="1">
        <w:numFmt w:val="lowerLetter"/>
        <w:lvlText w:val="%2."/>
        <w:lvlJc w:val="left"/>
      </w:lvl>
    </w:lvlOverride>
  </w:num>
  <w:num w:numId="8" w16cid:durableId="520122003">
    <w:abstractNumId w:val="8"/>
    <w:lvlOverride w:ilvl="1">
      <w:lvl w:ilvl="1">
        <w:numFmt w:val="lowerLetter"/>
        <w:lvlText w:val="%2."/>
        <w:lvlJc w:val="left"/>
      </w:lvl>
    </w:lvlOverride>
  </w:num>
  <w:num w:numId="9" w16cid:durableId="821701240">
    <w:abstractNumId w:val="8"/>
    <w:lvlOverride w:ilvl="1">
      <w:lvl w:ilvl="1">
        <w:numFmt w:val="lowerLetter"/>
        <w:lvlText w:val="%2."/>
        <w:lvlJc w:val="left"/>
      </w:lvl>
    </w:lvlOverride>
  </w:num>
  <w:num w:numId="10" w16cid:durableId="270095173">
    <w:abstractNumId w:val="8"/>
    <w:lvlOverride w:ilvl="1">
      <w:lvl w:ilvl="1">
        <w:numFmt w:val="lowerLetter"/>
        <w:lvlText w:val="%2."/>
        <w:lvlJc w:val="left"/>
      </w:lvl>
    </w:lvlOverride>
  </w:num>
  <w:num w:numId="11" w16cid:durableId="1473715065">
    <w:abstractNumId w:val="11"/>
  </w:num>
  <w:num w:numId="12" w16cid:durableId="530074623">
    <w:abstractNumId w:val="7"/>
  </w:num>
  <w:num w:numId="13" w16cid:durableId="567419883">
    <w:abstractNumId w:val="10"/>
  </w:num>
  <w:num w:numId="14" w16cid:durableId="969016590">
    <w:abstractNumId w:val="12"/>
  </w:num>
  <w:num w:numId="15" w16cid:durableId="1515610801">
    <w:abstractNumId w:val="4"/>
  </w:num>
  <w:num w:numId="16" w16cid:durableId="2120711552">
    <w:abstractNumId w:val="18"/>
  </w:num>
  <w:num w:numId="17" w16cid:durableId="506942167">
    <w:abstractNumId w:val="18"/>
    <w:lvlOverride w:ilvl="1">
      <w:lvl w:ilvl="1">
        <w:numFmt w:val="lowerLetter"/>
        <w:lvlText w:val="%2."/>
        <w:lvlJc w:val="left"/>
      </w:lvl>
    </w:lvlOverride>
  </w:num>
  <w:num w:numId="18" w16cid:durableId="2117365808">
    <w:abstractNumId w:val="18"/>
    <w:lvlOverride w:ilvl="1">
      <w:lvl w:ilvl="1">
        <w:numFmt w:val="lowerLetter"/>
        <w:lvlText w:val="%2."/>
        <w:lvlJc w:val="left"/>
      </w:lvl>
    </w:lvlOverride>
  </w:num>
  <w:num w:numId="19" w16cid:durableId="698821878">
    <w:abstractNumId w:val="18"/>
    <w:lvlOverride w:ilvl="1">
      <w:lvl w:ilvl="1">
        <w:numFmt w:val="lowerLetter"/>
        <w:lvlText w:val="%2."/>
        <w:lvlJc w:val="left"/>
      </w:lvl>
    </w:lvlOverride>
  </w:num>
  <w:num w:numId="20" w16cid:durableId="1972862572">
    <w:abstractNumId w:val="18"/>
    <w:lvlOverride w:ilvl="1">
      <w:lvl w:ilvl="1">
        <w:numFmt w:val="lowerLetter"/>
        <w:lvlText w:val="%2."/>
        <w:lvlJc w:val="left"/>
      </w:lvl>
    </w:lvlOverride>
  </w:num>
  <w:num w:numId="21" w16cid:durableId="1666325294">
    <w:abstractNumId w:val="18"/>
    <w:lvlOverride w:ilvl="1">
      <w:lvl w:ilvl="1">
        <w:numFmt w:val="lowerLetter"/>
        <w:lvlText w:val="%2."/>
        <w:lvlJc w:val="left"/>
      </w:lvl>
    </w:lvlOverride>
  </w:num>
  <w:num w:numId="22" w16cid:durableId="1260724396">
    <w:abstractNumId w:val="17"/>
  </w:num>
  <w:num w:numId="23" w16cid:durableId="531118815">
    <w:abstractNumId w:val="14"/>
  </w:num>
  <w:num w:numId="24" w16cid:durableId="1473137884">
    <w:abstractNumId w:val="15"/>
  </w:num>
  <w:num w:numId="25" w16cid:durableId="2074429271">
    <w:abstractNumId w:val="9"/>
  </w:num>
  <w:num w:numId="26" w16cid:durableId="2096899198">
    <w:abstractNumId w:val="6"/>
  </w:num>
  <w:num w:numId="27" w16cid:durableId="273052295">
    <w:abstractNumId w:val="0"/>
  </w:num>
  <w:num w:numId="28" w16cid:durableId="1946577665">
    <w:abstractNumId w:val="13"/>
  </w:num>
  <w:num w:numId="29" w16cid:durableId="1077480581">
    <w:abstractNumId w:val="3"/>
  </w:num>
  <w:num w:numId="30" w16cid:durableId="206362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C2"/>
    <w:rsid w:val="00024E69"/>
    <w:rsid w:val="00034AC2"/>
    <w:rsid w:val="000D59E8"/>
    <w:rsid w:val="000F75F1"/>
    <w:rsid w:val="001119E7"/>
    <w:rsid w:val="00120A68"/>
    <w:rsid w:val="001549E2"/>
    <w:rsid w:val="001821DD"/>
    <w:rsid w:val="00191659"/>
    <w:rsid w:val="00195C3B"/>
    <w:rsid w:val="001D15EA"/>
    <w:rsid w:val="0032607B"/>
    <w:rsid w:val="00340CFF"/>
    <w:rsid w:val="003928D3"/>
    <w:rsid w:val="003A1AB6"/>
    <w:rsid w:val="00473CBE"/>
    <w:rsid w:val="00691301"/>
    <w:rsid w:val="0072375C"/>
    <w:rsid w:val="0075764E"/>
    <w:rsid w:val="0084402A"/>
    <w:rsid w:val="00996926"/>
    <w:rsid w:val="00A356F7"/>
    <w:rsid w:val="00AD5D79"/>
    <w:rsid w:val="00C514E8"/>
    <w:rsid w:val="00CB4254"/>
    <w:rsid w:val="00CE0490"/>
    <w:rsid w:val="00D01657"/>
    <w:rsid w:val="00D37F69"/>
    <w:rsid w:val="00D84324"/>
    <w:rsid w:val="00E02AA0"/>
    <w:rsid w:val="00E46846"/>
    <w:rsid w:val="00E54D56"/>
    <w:rsid w:val="00E65A72"/>
    <w:rsid w:val="00F72DF9"/>
    <w:rsid w:val="00FC3735"/>
    <w:rsid w:val="00FD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EC45"/>
  <w15:chartTrackingRefBased/>
  <w15:docId w15:val="{E0694FDC-6006-4C82-B926-397E160D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A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4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AC2"/>
  </w:style>
  <w:style w:type="paragraph" w:styleId="Footer">
    <w:name w:val="footer"/>
    <w:basedOn w:val="Normal"/>
    <w:link w:val="FooterChar"/>
    <w:uiPriority w:val="99"/>
    <w:unhideWhenUsed/>
    <w:rsid w:val="00034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C2"/>
  </w:style>
  <w:style w:type="character" w:styleId="Hyperlink">
    <w:name w:val="Hyperlink"/>
    <w:basedOn w:val="DefaultParagraphFont"/>
    <w:uiPriority w:val="99"/>
    <w:unhideWhenUsed/>
    <w:rsid w:val="00F72D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6570998/" TargetMode="External"/><Relationship Id="rId13" Type="http://schemas.openxmlformats.org/officeDocument/2006/relationships/hyperlink" Target="https://www.youtube.com/watch?v=Wk5QHySlMX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2460905/" TargetMode="External"/><Relationship Id="rId12" Type="http://schemas.openxmlformats.org/officeDocument/2006/relationships/hyperlink" Target="https://pubmed.ncbi.nlm.nih.gov/3197834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med.ncbi.nlm.nih.gov/31068703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ubmed.ncbi.nlm.nih.gov/310687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4076604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Maggie</dc:creator>
  <cp:keywords/>
  <dc:description/>
  <cp:lastModifiedBy>Huang, Maggie</cp:lastModifiedBy>
  <cp:revision>6</cp:revision>
  <dcterms:created xsi:type="dcterms:W3CDTF">2024-10-08T21:36:00Z</dcterms:created>
  <dcterms:modified xsi:type="dcterms:W3CDTF">2024-10-08T22:18:00Z</dcterms:modified>
</cp:coreProperties>
</file>