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Commentary-Based Research for Both Counts</w:t>
      </w:r>
    </w:p>
    <w:p>
      <w:pPr>
        <w:jc w:val="center"/>
      </w:pPr>
      <w:r>
        <w:rPr>
          <w:b/>
        </w:rPr>
        <w:t>Triffterer and Ambos, The Rome Statute Commentary (3rd ed., 2016)</w:t>
      </w:r>
    </w:p>
    <w:p>
      <w:pPr>
        <w:jc w:val="center"/>
      </w:pPr>
      <w:r>
        <w:rPr>
          <w:i/>
        </w:rPr>
        <w:t>Prosecutor v. General Roger Thorn | National Rounds IHL Moot 2026–2027</w:t>
      </w:r>
    </w:p>
    <w:p>
      <w:r>
        <w:br w:type="page"/>
      </w:r>
    </w:p>
    <w:p>
      <w:pPr>
        <w:pStyle w:val="Heading1"/>
      </w:pPr>
      <w:r>
        <w:t>How to read the citations</w:t>
      </w:r>
    </w:p>
    <w:p>
      <w:r>
        <w:t>The book uses printed page numbers and paragraph/marginal numbers. The page references below refer to the printed pages shown in the book footer, not necessarily the PDF viewer’s page count. The attached moot problem remains the controlling factual source.</w:t>
      </w:r>
    </w:p>
    <w:p>
      <w:pPr>
        <w:pStyle w:val="Heading1"/>
      </w:pPr>
      <w:r>
        <w:t>Count 1: Jaku injections</w:t>
      </w:r>
    </w:p>
    <w:p>
      <w:pPr>
        <w:pStyle w:val="Heading2"/>
      </w:pPr>
      <w:r>
        <w:t>1. General war-crime requirements</w:t>
      </w:r>
    </w:p>
    <w:p>
      <w:r>
        <w:t>Book location: printed pp. 304–305, paras. 1–3, commentary on Article 8.</w:t>
      </w:r>
    </w:p>
    <w:p>
      <w:r>
        <w:t>The commentary explains that a war crime requires an armed conflict, a nexus between the conduct and that conflict, a violation of a specific IHL rule, criminalization under treaty or customary international law, and fulfilment of the offence’s material and mental elements.</w:t>
      </w:r>
    </w:p>
    <w:p>
      <w:r>
        <w:t>Use: The Prosecution must prove more than an unsafe or experimental medical procedure. The Defence can demand separate proof of conflict nexus, protected status, prohibited experiment, serious endangerment, and Thorn’s mode of responsibility.</w:t>
      </w:r>
    </w:p>
    <w:p>
      <w:pPr>
        <w:pStyle w:val="Heading2"/>
      </w:pPr>
      <w:r>
        <w:t>2. Grave breaches and protected persons</w:t>
      </w:r>
    </w:p>
    <w:p>
      <w:r>
        <w:t>Book location: printed pp. 321–322, paras. 56–58.</w:t>
      </w:r>
    </w:p>
    <w:p>
      <w:r>
        <w:t>Article 8(2)(a) incorporates the grave breaches of the Geneva Conventions. The commentary identifies the persons protected by each Convention and explains that grave breaches traditionally apply in international armed conflicts and require the victim or property to fall within the relevant protected category.</w:t>
      </w:r>
    </w:p>
    <w:p>
      <w:r>
        <w:t>Use: The Defence can challenge whether Damaroi soldiers treated by Damaroi authorities were persons protected against an adverse party. The Prosecution can argue that the soldiers were sick, incapacitated and under Thorn’s physical control, and that the protective purpose of IHL should prevent prohibited experimentation.</w:t>
      </w:r>
    </w:p>
    <w:p>
      <w:pPr>
        <w:pStyle w:val="Heading2"/>
      </w:pPr>
      <w:r>
        <w:t>3. Torture and prohibited treatment</w:t>
      </w:r>
    </w:p>
    <w:p>
      <w:r>
        <w:t>Book location: printed pp. 203–205, paras. 52–52(f), with cross-references to Article 8(2)(a)(ii) and 8(2)(c)(i).</w:t>
      </w:r>
    </w:p>
    <w:p>
      <w:r>
        <w:t>The commentary recognizes torture as a war crime and a serious violation of international human-rights law. The prohibition is absolute and non-derogable, and the relevant formulation must be identified according to the charged crime.</w:t>
      </w:r>
    </w:p>
    <w:p>
      <w:r>
        <w:t>Use: The Prosecution relies on comatose soldiers, experimental treatment, continuing paranoia and disorientation, and Thorn’s approval of the increased dose. The Defence can distinguish serious suffering from treatment intended to restore health and challenge proof of severe pain, purpose and causation.</w:t>
      </w:r>
    </w:p>
    <w:p>
      <w:pPr>
        <w:pStyle w:val="Heading2"/>
      </w:pPr>
      <w:r>
        <w:t>4. Medical and scientific experiments</w:t>
      </w:r>
    </w:p>
    <w:p>
      <w:r>
        <w:t>Book location: printed pp. 438–446, paras. 10(d)–10(g).</w:t>
      </w:r>
    </w:p>
    <w:p>
      <w:r>
        <w:t>The commentary identifies the central requirements: the victim is in the power of an adverse party; the conduct is a medical or scientific experiment; it is not justified by medical, dental or hospital treatment; it is not carried out in the person’s interest; and it causes death or seriously endangers physical or mental health or integrity. Consent does not cure an otherwise prohibited experiment.</w:t>
      </w:r>
    </w:p>
    <w:p>
      <w:r>
        <w:t>Prosecution use: Jaku was expressly experimental, promised enhanced strength and endurance, was administered to four unconscious soldiers, and was increased despite paranoia and disorientation. These facts support the argument that the treatment served military enhancement, not merely rehabilitation.</w:t>
      </w:r>
    </w:p>
    <w:p>
      <w:r>
        <w:t>Defence use: The immediate purpose was recovery after illness; Dr. Loff represented that Jaku would restore health and immunity; the treatment restored all soldiers; and the facts do not expressly establish permanent injury or death. The Defence should focus on medical justification and the soldiers’ interests rather than relying only on consent.</w:t>
      </w:r>
    </w:p>
    <w:p>
      <w:pPr>
        <w:pStyle w:val="Heading2"/>
      </w:pPr>
      <w:r>
        <w:t>5. Consent</w:t>
      </w:r>
    </w:p>
    <w:p>
      <w:r>
        <w:t>Book location: printed p. 446, para. 10(g).</w:t>
      </w:r>
    </w:p>
    <w:p>
      <w:r>
        <w:t>The commentary treats consent as legally irrelevant to the medical-experiment offence when the other elements are fulfilled.</w:t>
      </w:r>
    </w:p>
    <w:p>
      <w:r>
        <w:t>Use: Consent by conscious soldiers does not automatically defeat the Prosecution’s case. The four soldiers treated in comas create a stronger factual case. The Defence should instead argue that Jaku was medically justified, beneficial and not shown to have seriously endangered health or integrity.</w:t>
      </w:r>
    </w:p>
    <w:p>
      <w:pPr>
        <w:pStyle w:val="Heading2"/>
      </w:pPr>
      <w:r>
        <w:t>6. Thorn’s assistance under Article 25(3)(c)</w:t>
      </w:r>
    </w:p>
    <w:p>
      <w:r>
        <w:t>Book location: printed pp. 1007–1009, paras. 25–27.</w:t>
      </w:r>
    </w:p>
    <w:p>
      <w:r>
        <w:t>Aiding and abetting may include physical or psychological assistance; it need not be indispensable; presence is unnecessary; and assistance must have a substantial effect and causal connection to the principal crime. Article 25(3)(c) also requires purpose to facilitate the crime, beyond mere knowledge.</w:t>
      </w:r>
    </w:p>
    <w:p>
      <w:r>
        <w:t>Prosecution use: Thorn agreed to Jaku, communicated and approved treatment for the group, approved full doses after personally experiencing enhancement, and enabled the platoon to resume operations. His authority and decisions substantially facilitated the treatment.</w:t>
      </w:r>
    </w:p>
    <w:p>
      <w:r>
        <w:t>Defence use: Thorn did not administer the injections, relied on the scientist, and approved recovery rather than a crime. The commentary’s distinction between facilitating treatment and facilitating a prohibited experiment is central.</w:t>
      </w:r>
    </w:p>
    <w:p>
      <w:pPr>
        <w:pStyle w:val="Heading2"/>
      </w:pPr>
      <w:r>
        <w:t>7. Article 30 mental element</w:t>
      </w:r>
    </w:p>
    <w:p>
      <w:r>
        <w:t>Book location: printed pp. 1111–1113, paras. 1–3, and pp. 1008–1009.</w:t>
      </w:r>
    </w:p>
    <w:p>
      <w:r>
        <w:t>Intent means meaning to engage in conduct or cause a consequence; knowledge means awareness that a circumstance exists or a consequence will occur in the ordinary course of events. Mere suspicion is insufficient. Article 25(3)(c) adds the purpose of facilitating the crime.</w:t>
      </w:r>
    </w:p>
    <w:p>
      <w:r>
        <w:t>Use: The Prosecution relies on Thorn’s knowledge that Jaku was experimental, his awareness of side effects, his dosage approval and his operational objective. The Defence argues that knowledge of experimentation or side effects is not knowledge of a war crime and that Thorn relied on Dr. Loff’s assurance.</w:t>
      </w:r>
    </w:p>
    <w:p>
      <w:pPr>
        <w:pStyle w:val="Heading1"/>
      </w:pPr>
      <w:r>
        <w:t>Count 2: Missile attacks on schools</w:t>
      </w:r>
    </w:p>
    <w:p>
      <w:pPr>
        <w:pStyle w:val="Heading2"/>
      </w:pPr>
      <w:r>
        <w:t>8. Elements of civilian-object attack</w:t>
      </w:r>
    </w:p>
    <w:p>
      <w:r>
        <w:t>Book location: printed pp. 360–362, paras. 208–215.</w:t>
      </w:r>
    </w:p>
    <w:p>
      <w:r>
        <w:t>The offence requires: an attack; a civilian object, meaning an object that is not a military objective; and intent that the civilian object be the object of the attack. Incidental civilian damage from an attack directed at a military objective is not, by itself, this offence.</w:t>
      </w:r>
    </w:p>
    <w:p>
      <w:r>
        <w:t>Use: The Prosecution emphasizes that Thorn selected the schools and provided coordinates despite admitting that the three remaining schools were not confirmed as military facilities. The Defence argues that the missiles were directed at presumed military training bases and that civilian deaths were incidental.</w:t>
      </w:r>
    </w:p>
    <w:p>
      <w:pPr>
        <w:pStyle w:val="Heading2"/>
      </w:pPr>
      <w:r>
        <w:t>9. Military objectives</w:t>
      </w:r>
    </w:p>
    <w:p>
      <w:r>
        <w:t>Book location: printed pp. 362–363, paras. 209–213.</w:t>
      </w:r>
    </w:p>
    <w:p>
      <w:r>
        <w:t>The two-part test requires that the object, by nature, location, purpose or use, make an effective contribution to military action, and that its destruction, capture or neutralization offer a definite military advantage in the circumstances at the time. Both conditions must be met simultaneously.</w:t>
      </w:r>
    </w:p>
    <w:p>
      <w:r>
        <w:t>Use: The Prosecution says the final schools were not confirmed as military facilities. The Defence says the schools met the same objective criteria as previously converted schools and that their destruction prevented additional military training sites.</w:t>
      </w:r>
    </w:p>
    <w:p>
      <w:pPr>
        <w:pStyle w:val="Heading2"/>
      </w:pPr>
      <w:r>
        <w:t>10. Future purpose and mere suspicion</w:t>
      </w:r>
    </w:p>
    <w:p>
      <w:r>
        <w:t>Book location: printed p. 363, para. 211.</w:t>
      </w:r>
    </w:p>
    <w:p>
      <w:r>
        <w:t>Purpose concerns intended future use, but the commentary expressly requires concrete indicators; mere suspicion is insufficient.</w:t>
      </w:r>
    </w:p>
    <w:p>
      <w:r>
        <w:t>Use: This is the strongest Prosecution passage because Thorn relied on a pattern without confirmation. The Defence can argue that the pattern, school size, location, evacuation and prior repeated conversions were concrete circumstantial indicators, even without direct observation of military activity.</w:t>
      </w:r>
    </w:p>
    <w:p>
      <w:pPr>
        <w:pStyle w:val="Heading2"/>
      </w:pPr>
      <w:r>
        <w:t>11. Definite military advantage</w:t>
      </w:r>
    </w:p>
    <w:p>
      <w:r>
        <w:t>Book location: printed pp. 363–364, paras. 211–212.</w:t>
      </w:r>
    </w:p>
    <w:p>
      <w:r>
        <w:t>A definite military advantage must be concrete and perceptible, not hypothetical or speculative, and must be assessed at the time of attack. It must be military rather than merely political.</w:t>
      </w:r>
    </w:p>
    <w:p>
      <w:r>
        <w:t>Use: The Prosecution calls the anticipated future use speculative. The Defence should frame the advantage narrowly: preventing new training facilities, disrupting recruitment and denying Pallavon a repeatable military-base network, rather than claiming a general political advantage.</w:t>
      </w:r>
    </w:p>
    <w:p>
      <w:pPr>
        <w:pStyle w:val="Heading2"/>
      </w:pPr>
      <w:r>
        <w:t>12. Civilian objects losing protection</w:t>
      </w:r>
    </w:p>
    <w:p>
      <w:r>
        <w:t>Book location: printed p. 364, para. 213.</w:t>
      </w:r>
    </w:p>
    <w:p>
      <w:r>
        <w:t>Civilian objects may be attacked only when and for such time as they become military objectives because of location, purpose or use.</w:t>
      </w:r>
    </w:p>
    <w:p>
      <w:r>
        <w:t>Use: Earlier conversion of other schools does not automatically convert the final three. Each school must be assessed at the time of attack. The Defence must prove that the final schools had already become military objectives through purpose, location or use.</w:t>
      </w:r>
    </w:p>
    <w:p>
      <w:pPr>
        <w:pStyle w:val="Heading2"/>
      </w:pPr>
      <w:r>
        <w:t>13. Civilian casualties and unlawful targeting</w:t>
      </w:r>
    </w:p>
    <w:p>
      <w:r>
        <w:t>Book location: printed pp. 360–361, paras. 205–206.</w:t>
      </w:r>
    </w:p>
    <w:p>
      <w:r>
        <w:t>Civilian deaths or injuries do not automatically establish an unlawful attack. They may result from an attack directed at a military objective, a missed projectile, or erroneous information. The key question is whether the civilian object was intended as the target.</w:t>
      </w:r>
    </w:p>
    <w:p>
      <w:r>
        <w:t>Use: This is the strongest Defence answer to the deaths of cleaning staff. The Prosecution can reply that Thorn knowingly attacked unconfirmed schools and therefore did not merely make an honest mistake about a verified military objective.</w:t>
      </w:r>
    </w:p>
    <w:p>
      <w:pPr>
        <w:pStyle w:val="Heading2"/>
      </w:pPr>
      <w:r>
        <w:t>14. Military necessity</w:t>
      </w:r>
    </w:p>
    <w:p>
      <w:r>
        <w:t>Book location: printed pp. 363–364, paras. 213–214.</w:t>
      </w:r>
    </w:p>
    <w:p>
      <w:r>
        <w:t>Military necessity cannot independently justify an attack prohibited by IHL. The Defence must first establish that the schools were military objectives under the Article 52 test; it should not rely on military necessity alone.</w:t>
      </w:r>
    </w:p>
    <w:p>
      <w:pPr>
        <w:pStyle w:val="Heading2"/>
      </w:pPr>
      <w:r>
        <w:t>15. No particular result required</w:t>
      </w:r>
    </w:p>
    <w:p>
      <w:r>
        <w:t>Book location: printed p. 364, para. 215.</w:t>
      </w:r>
    </w:p>
    <w:p>
      <w:r>
        <w:t>The civilian-object offence does not require a particular result such as death, injury or complete destruction. The intentional direction of the attack against civilian objects may be sufficient if the other elements are proven.</w:t>
      </w:r>
    </w:p>
    <w:p>
      <w:r>
        <w:t>Use: The Prosecution need not rely on the deaths of cleaning staff. The Defence should focus on the schools’ legal status and Thorn’s intention, not merely the extent of damage.</w:t>
      </w:r>
    </w:p>
    <w:p>
      <w:pPr>
        <w:pStyle w:val="Heading2"/>
      </w:pPr>
      <w:r>
        <w:t>16. Distinguishing direct civilian-object attacks</w:t>
      </w:r>
    </w:p>
    <w:p>
      <w:r>
        <w:t>Book location: printed pp. 360–361, paras. 205–207.</w:t>
      </w:r>
    </w:p>
    <w:p>
      <w:r>
        <w:t>The commentary distinguishes intentionally attacking civilian objects from attacking military objectives while causing incidental or excessive civilian harm.</w:t>
      </w:r>
    </w:p>
    <w:p>
      <w:r>
        <w:t>Use: The Defence can argue that, even if precautions or proportionality were questionable, the specific Article 8(2)(b)(ii) charge is not established unless the schools were civilian objects deliberately selected as the objects of attack.</w:t>
      </w:r>
    </w:p>
    <w:p>
      <w:pPr>
        <w:pStyle w:val="Heading1"/>
      </w:pPr>
      <w:r>
        <w:t>17. Most useful passages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Count</w:t>
            </w:r>
          </w:p>
        </w:tc>
        <w:tc>
          <w:tcPr>
            <w:tcW w:type="dxa" w:w="3360"/>
          </w:tcPr>
          <w:p>
            <w:r>
              <w:rPr>
                <w:b/>
              </w:rPr>
              <w:t>Pages</w:t>
            </w:r>
          </w:p>
        </w:tc>
        <w:tc>
          <w:tcPr>
            <w:tcW w:type="dxa" w:w="3360"/>
          </w:tcPr>
          <w:p>
            <w:r>
              <w:rPr>
                <w:b/>
              </w:rPr>
              <w:t>Point</w:t>
            </w:r>
          </w:p>
        </w:tc>
      </w:tr>
      <w:tr>
        <w:tc>
          <w:tcPr>
            <w:tcW w:type="dxa" w:w="3360"/>
            <w:vAlign w:val="top"/>
          </w:tcPr>
          <w:p>
            <w:r>
              <w:t>1</w:t>
            </w:r>
          </w:p>
        </w:tc>
        <w:tc>
          <w:tcPr>
            <w:tcW w:type="dxa" w:w="3360"/>
            <w:vAlign w:val="top"/>
          </w:tcPr>
          <w:p>
            <w:r>
              <w:t>304–305</w:t>
            </w:r>
          </w:p>
        </w:tc>
        <w:tc>
          <w:tcPr>
            <w:tcW w:type="dxa" w:w="3360"/>
            <w:vAlign w:val="top"/>
          </w:tcPr>
          <w:p>
            <w:r>
              <w:t>War-crime framework: conflict, nexus, IHL violation, criminalization and mental/material elements.</w:t>
            </w:r>
          </w:p>
        </w:tc>
      </w:tr>
      <w:tr>
        <w:tc>
          <w:tcPr>
            <w:tcW w:type="dxa" w:w="3360"/>
            <w:vAlign w:val="top"/>
          </w:tcPr>
          <w:p>
            <w:r>
              <w:t>1</w:t>
            </w:r>
          </w:p>
        </w:tc>
        <w:tc>
          <w:tcPr>
            <w:tcW w:type="dxa" w:w="3360"/>
            <w:vAlign w:val="top"/>
          </w:tcPr>
          <w:p>
            <w:r>
              <w:t>321–322</w:t>
            </w:r>
          </w:p>
        </w:tc>
        <w:tc>
          <w:tcPr>
            <w:tcW w:type="dxa" w:w="3360"/>
            <w:vAlign w:val="top"/>
          </w:tcPr>
          <w:p>
            <w:r>
              <w:t>Grave breaches and protected-person categories.</w:t>
            </w:r>
          </w:p>
        </w:tc>
      </w:tr>
      <w:tr>
        <w:tc>
          <w:tcPr>
            <w:tcW w:type="dxa" w:w="3360"/>
            <w:vAlign w:val="top"/>
          </w:tcPr>
          <w:p>
            <w:r>
              <w:t>1</w:t>
            </w:r>
          </w:p>
        </w:tc>
        <w:tc>
          <w:tcPr>
            <w:tcW w:type="dxa" w:w="3360"/>
            <w:vAlign w:val="top"/>
          </w:tcPr>
          <w:p>
            <w:r>
              <w:t>438–441</w:t>
            </w:r>
          </w:p>
        </w:tc>
        <w:tc>
          <w:tcPr>
            <w:tcW w:type="dxa" w:w="3360"/>
            <w:vAlign w:val="top"/>
          </w:tcPr>
          <w:p>
            <w:r>
              <w:t>Medical experiment, medical justification, interest and serious endangerment.</w:t>
            </w:r>
          </w:p>
        </w:tc>
      </w:tr>
      <w:tr>
        <w:tc>
          <w:tcPr>
            <w:tcW w:type="dxa" w:w="3360"/>
            <w:vAlign w:val="top"/>
          </w:tcPr>
          <w:p>
            <w:r>
              <w:t>1</w:t>
            </w:r>
          </w:p>
        </w:tc>
        <w:tc>
          <w:tcPr>
            <w:tcW w:type="dxa" w:w="3360"/>
            <w:vAlign w:val="top"/>
          </w:tcPr>
          <w:p>
            <w:r>
              <w:t>446</w:t>
            </w:r>
          </w:p>
        </w:tc>
        <w:tc>
          <w:tcPr>
            <w:tcW w:type="dxa" w:w="3360"/>
            <w:vAlign w:val="top"/>
          </w:tcPr>
          <w:p>
            <w:r>
              <w:t>Consent does not cure a prohibited medical experiment.</w:t>
            </w:r>
          </w:p>
        </w:tc>
      </w:tr>
      <w:tr>
        <w:tc>
          <w:tcPr>
            <w:tcW w:type="dxa" w:w="3360"/>
            <w:vAlign w:val="top"/>
          </w:tcPr>
          <w:p>
            <w:r>
              <w:t>1</w:t>
            </w:r>
          </w:p>
        </w:tc>
        <w:tc>
          <w:tcPr>
            <w:tcW w:type="dxa" w:w="3360"/>
            <w:vAlign w:val="top"/>
          </w:tcPr>
          <w:p>
            <w:r>
              <w:t>1007–1009</w:t>
            </w:r>
          </w:p>
        </w:tc>
        <w:tc>
          <w:tcPr>
            <w:tcW w:type="dxa" w:w="3360"/>
            <w:vAlign w:val="top"/>
          </w:tcPr>
          <w:p>
            <w:r>
              <w:t>Assistance, substantial contribution and purpose to facilitate.</w:t>
            </w:r>
          </w:p>
        </w:tc>
      </w:tr>
      <w:tr>
        <w:tc>
          <w:tcPr>
            <w:tcW w:type="dxa" w:w="3360"/>
            <w:vAlign w:val="top"/>
          </w:tcPr>
          <w:p>
            <w:r>
              <w:t>1</w:t>
            </w:r>
          </w:p>
        </w:tc>
        <w:tc>
          <w:tcPr>
            <w:tcW w:type="dxa" w:w="3360"/>
            <w:vAlign w:val="top"/>
          </w:tcPr>
          <w:p>
            <w:r>
              <w:t>1111–1113</w:t>
            </w:r>
          </w:p>
        </w:tc>
        <w:tc>
          <w:tcPr>
            <w:tcW w:type="dxa" w:w="3360"/>
            <w:vAlign w:val="top"/>
          </w:tcPr>
          <w:p>
            <w:r>
              <w:t>Article 30 intent, knowledge and mere suspicion.</w:t>
            </w:r>
          </w:p>
        </w:tc>
      </w:tr>
      <w:tr>
        <w:tc>
          <w:tcPr>
            <w:tcW w:type="dxa" w:w="3360"/>
            <w:vAlign w:val="top"/>
          </w:tcPr>
          <w:p>
            <w:r>
              <w:t>2</w:t>
            </w:r>
          </w:p>
        </w:tc>
        <w:tc>
          <w:tcPr>
            <w:tcW w:type="dxa" w:w="3360"/>
            <w:vAlign w:val="top"/>
          </w:tcPr>
          <w:p>
            <w:r>
              <w:t>360–362</w:t>
            </w:r>
          </w:p>
        </w:tc>
        <w:tc>
          <w:tcPr>
            <w:tcW w:type="dxa" w:w="3360"/>
            <w:vAlign w:val="top"/>
          </w:tcPr>
          <w:p>
            <w:r>
              <w:t>Civilian-object offence and intent to make object the target.</w:t>
            </w:r>
          </w:p>
        </w:tc>
      </w:tr>
      <w:tr>
        <w:tc>
          <w:tcPr>
            <w:tcW w:type="dxa" w:w="3360"/>
            <w:vAlign w:val="top"/>
          </w:tcPr>
          <w:p>
            <w:r>
              <w:t>2</w:t>
            </w:r>
          </w:p>
        </w:tc>
        <w:tc>
          <w:tcPr>
            <w:tcW w:type="dxa" w:w="3360"/>
            <w:vAlign w:val="top"/>
          </w:tcPr>
          <w:p>
            <w:r>
              <w:t>362–363</w:t>
            </w:r>
          </w:p>
        </w:tc>
        <w:tc>
          <w:tcPr>
            <w:tcW w:type="dxa" w:w="3360"/>
            <w:vAlign w:val="top"/>
          </w:tcPr>
          <w:p>
            <w:r>
              <w:t>Two-part military-objective test.</w:t>
            </w:r>
          </w:p>
        </w:tc>
      </w:tr>
      <w:tr>
        <w:tc>
          <w:tcPr>
            <w:tcW w:type="dxa" w:w="3360"/>
            <w:vAlign w:val="top"/>
          </w:tcPr>
          <w:p>
            <w:r>
              <w:t>2</w:t>
            </w:r>
          </w:p>
        </w:tc>
        <w:tc>
          <w:tcPr>
            <w:tcW w:type="dxa" w:w="3360"/>
            <w:vAlign w:val="top"/>
          </w:tcPr>
          <w:p>
            <w:r>
              <w:t>363</w:t>
            </w:r>
          </w:p>
        </w:tc>
        <w:tc>
          <w:tcPr>
            <w:tcW w:type="dxa" w:w="3360"/>
            <w:vAlign w:val="top"/>
          </w:tcPr>
          <w:p>
            <w:r>
              <w:t>Concrete indicators required for future purpose; mere suspicion insufficient.</w:t>
            </w:r>
          </w:p>
        </w:tc>
      </w:tr>
      <w:tr>
        <w:tc>
          <w:tcPr>
            <w:tcW w:type="dxa" w:w="3360"/>
            <w:vAlign w:val="top"/>
          </w:tcPr>
          <w:p>
            <w:r>
              <w:t>2</w:t>
            </w:r>
          </w:p>
        </w:tc>
        <w:tc>
          <w:tcPr>
            <w:tcW w:type="dxa" w:w="3360"/>
            <w:vAlign w:val="top"/>
          </w:tcPr>
          <w:p>
            <w:r>
              <w:t>363–364</w:t>
            </w:r>
          </w:p>
        </w:tc>
        <w:tc>
          <w:tcPr>
            <w:tcW w:type="dxa" w:w="3360"/>
            <w:vAlign w:val="top"/>
          </w:tcPr>
          <w:p>
            <w:r>
              <w:t>Definite military advantage must be concrete and assessed at the time.</w:t>
            </w:r>
          </w:p>
        </w:tc>
      </w:tr>
      <w:tr>
        <w:tc>
          <w:tcPr>
            <w:tcW w:type="dxa" w:w="3360"/>
            <w:vAlign w:val="top"/>
          </w:tcPr>
          <w:p>
            <w:r>
              <w:t>2</w:t>
            </w:r>
          </w:p>
        </w:tc>
        <w:tc>
          <w:tcPr>
            <w:tcW w:type="dxa" w:w="3360"/>
            <w:vAlign w:val="top"/>
          </w:tcPr>
          <w:p>
            <w:r>
              <w:t>364</w:t>
            </w:r>
          </w:p>
        </w:tc>
        <w:tc>
          <w:tcPr>
            <w:tcW w:type="dxa" w:w="3360"/>
            <w:vAlign w:val="top"/>
          </w:tcPr>
          <w:p>
            <w:r>
              <w:t>Civilian objects lose protection only when they become military objectives.</w:t>
            </w:r>
          </w:p>
        </w:tc>
      </w:tr>
      <w:tr>
        <w:tc>
          <w:tcPr>
            <w:tcW w:type="dxa" w:w="3360"/>
            <w:vAlign w:val="top"/>
          </w:tcPr>
          <w:p>
            <w:r>
              <w:t>2</w:t>
            </w:r>
          </w:p>
        </w:tc>
        <w:tc>
          <w:tcPr>
            <w:tcW w:type="dxa" w:w="3360"/>
            <w:vAlign w:val="top"/>
          </w:tcPr>
          <w:p>
            <w:r>
              <w:t>360–361</w:t>
            </w:r>
          </w:p>
        </w:tc>
        <w:tc>
          <w:tcPr>
            <w:tcW w:type="dxa" w:w="3360"/>
            <w:vAlign w:val="top"/>
          </w:tcPr>
          <w:p>
            <w:r>
              <w:t>Civilian casualties do not automatically prove unlawful targeting.</w:t>
            </w:r>
          </w:p>
        </w:tc>
      </w:tr>
      <w:tr>
        <w:tc>
          <w:tcPr>
            <w:tcW w:type="dxa" w:w="3360"/>
            <w:vAlign w:val="top"/>
          </w:tcPr>
          <w:p>
            <w:r>
              <w:t>2</w:t>
            </w:r>
          </w:p>
        </w:tc>
        <w:tc>
          <w:tcPr>
            <w:tcW w:type="dxa" w:w="3360"/>
            <w:vAlign w:val="top"/>
          </w:tcPr>
          <w:p>
            <w:r>
              <w:t>363–364</w:t>
            </w:r>
          </w:p>
        </w:tc>
        <w:tc>
          <w:tcPr>
            <w:tcW w:type="dxa" w:w="3360"/>
            <w:vAlign w:val="top"/>
          </w:tcPr>
          <w:p>
            <w:r>
              <w:t>Military necessity is not an independent justification.</w:t>
            </w:r>
          </w:p>
        </w:tc>
      </w:tr>
      <w:tr>
        <w:tc>
          <w:tcPr>
            <w:tcW w:type="dxa" w:w="3360"/>
            <w:vAlign w:val="top"/>
          </w:tcPr>
          <w:p>
            <w:r>
              <w:t>2</w:t>
            </w:r>
          </w:p>
        </w:tc>
        <w:tc>
          <w:tcPr>
            <w:tcW w:type="dxa" w:w="3360"/>
            <w:vAlign w:val="top"/>
          </w:tcPr>
          <w:p>
            <w:r>
              <w:t>364</w:t>
            </w:r>
          </w:p>
        </w:tc>
        <w:tc>
          <w:tcPr>
            <w:tcW w:type="dxa" w:w="3360"/>
            <w:vAlign w:val="top"/>
          </w:tcPr>
          <w:p>
            <w:r>
              <w:t>No particular result required.</w:t>
            </w:r>
          </w:p>
        </w:tc>
      </w:tr>
    </w:tbl>
    <w:p>
      <w:pPr>
        <w:pStyle w:val="Heading1"/>
      </w:pPr>
      <w:r>
        <w:t>Suggested citation form</w:t>
      </w:r>
    </w:p>
    <w:p>
      <w:r>
        <w:t>Triffterer and Ambos (eds), The Rome Statute of the International Criminal Court: A Commentary, 3rd edn (C.H. Beck/Hart/Nomos 2016), commentary to art 8(2)(b)(ii), 360–364, paras 208–215.</w:t>
      </w:r>
    </w:p>
    <w:p>
      <w:r>
        <w:t>For Article 25(3)(c): Triffterer and Ambos (eds), Rome Statute Commentary, commentary to art 25(3)(c), 1007–1009, paras 25–27.</w:t>
      </w:r>
    </w:p>
    <w:p>
      <w:r>
        <w:t>For medical experiments: Triffterer and Ambos (eds), Rome Statute Commentary, commentary to art 8(2)(b)(x), 438–446, paras 10(d)–10(g).</w:t>
      </w:r>
    </w:p>
    <w:p>
      <w:r>
        <w:t>For the general war-crime framework: Triffterer and Ambos (eds), Rome Statute Commentary, commentary to art 8, 304–305, paras 1–3.</w:t>
      </w:r>
    </w:p>
    <w:p>
      <w:pPr>
        <w:pStyle w:val="Heading1"/>
      </w:pPr>
      <w:r>
        <w:t>Final caution</w:t>
      </w:r>
    </w:p>
    <w:p>
      <w:r>
        <w:t>Verify all quotations, paragraph numbers and page references against the attached PDF before filing a memorial. Use the commentary as persuasive authority; the Rome Statute, Elements of Crimes, treaties and binding case law remain the primary sources.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Commentary-Based Moot Research |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