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D30" w:rsidRDefault="00656431" w:rsidP="00656431">
      <w:pPr>
        <w:pStyle w:val="Heading1"/>
      </w:pPr>
      <w:bookmarkStart w:id="0" w:name="_GoBack"/>
      <w:bookmarkEnd w:id="0"/>
      <w:r>
        <w:t xml:space="preserve">Identifying Duty Rates and their associated Goods Nomenclature in the CDS Tariff Data Feed </w:t>
      </w:r>
    </w:p>
    <w:p w:rsidR="00FF02D0" w:rsidRDefault="00FF02D0" w:rsidP="0091707B"/>
    <w:p w:rsidR="00FF02D0" w:rsidRDefault="00FF02D0" w:rsidP="0091707B">
      <w:r>
        <w:t>The CDS Tariff Data Feed is closely aligned to the TARIC3 Data Model, it is recommended that the TARIC3 User Guide is read in conjunction with CDS documentation when interpreting the data feed.</w:t>
      </w:r>
    </w:p>
    <w:p w:rsidR="00FF02D0" w:rsidRDefault="00FF02D0" w:rsidP="0091707B"/>
    <w:p w:rsidR="00656431" w:rsidRDefault="00656431" w:rsidP="0091707B">
      <w:r>
        <w:t xml:space="preserve">Duty rates are expressed in the CDS Tariff Data Feed as </w:t>
      </w:r>
      <w:proofErr w:type="spellStart"/>
      <w:r w:rsidRPr="0091707B">
        <w:rPr>
          <w:rFonts w:ascii="Consolas" w:hAnsi="Consolas" w:cs="Consolas"/>
          <w:b/>
          <w:sz w:val="20"/>
          <w:szCs w:val="20"/>
        </w:rPr>
        <w:t>dutyAmount</w:t>
      </w:r>
      <w:proofErr w:type="spellEnd"/>
      <w:r>
        <w:t xml:space="preserve"> and </w:t>
      </w:r>
      <w:proofErr w:type="spellStart"/>
      <w:r w:rsidRPr="0091707B">
        <w:rPr>
          <w:rFonts w:ascii="Consolas" w:hAnsi="Consolas" w:cs="Consolas"/>
          <w:b/>
          <w:sz w:val="20"/>
          <w:szCs w:val="20"/>
        </w:rPr>
        <w:t>dutyExpressionId</w:t>
      </w:r>
      <w:proofErr w:type="spellEnd"/>
      <w:r>
        <w:t xml:space="preserve"> elements connected to a Measure. A single Goods Nomenclature Code will have many associated Measures</w:t>
      </w:r>
      <w:r w:rsidR="00A30D02">
        <w:t xml:space="preserve"> covering a range of different Measure Types.</w:t>
      </w:r>
    </w:p>
    <w:p w:rsidR="00FF02D0" w:rsidRDefault="00FF02D0" w:rsidP="0091707B"/>
    <w:p w:rsidR="00A30D02" w:rsidRDefault="00A30D02" w:rsidP="0091707B">
      <w:r>
        <w:t>Each Measure will be associated with:</w:t>
      </w:r>
    </w:p>
    <w:p w:rsidR="00A30D02" w:rsidRDefault="00A30D02" w:rsidP="0091707B">
      <w:pPr>
        <w:pStyle w:val="ListParagraph"/>
        <w:numPr>
          <w:ilvl w:val="0"/>
          <w:numId w:val="3"/>
        </w:numPr>
      </w:pPr>
      <w:r>
        <w:t>A single Nomenclature Code; and</w:t>
      </w:r>
    </w:p>
    <w:p w:rsidR="0091707B" w:rsidRDefault="00A30D02" w:rsidP="0091707B">
      <w:pPr>
        <w:pStyle w:val="ListParagraph"/>
        <w:numPr>
          <w:ilvl w:val="0"/>
          <w:numId w:val="3"/>
        </w:numPr>
      </w:pPr>
      <w:r>
        <w:t>A single Geographical Area</w:t>
      </w:r>
      <w:r w:rsidR="0091707B">
        <w:t>; and</w:t>
      </w:r>
    </w:p>
    <w:p w:rsidR="00A30D02" w:rsidRDefault="0091707B" w:rsidP="0091707B">
      <w:pPr>
        <w:pStyle w:val="ListParagraph"/>
        <w:numPr>
          <w:ilvl w:val="0"/>
          <w:numId w:val="3"/>
        </w:numPr>
      </w:pPr>
      <w:r>
        <w:t>A single Measure Type</w:t>
      </w:r>
      <w:r w:rsidR="00A30D02">
        <w:t>.</w:t>
      </w:r>
    </w:p>
    <w:p w:rsidR="00FF02D0" w:rsidRDefault="00FF02D0" w:rsidP="00FF02D0"/>
    <w:p w:rsidR="00A30D02" w:rsidRDefault="0091707B" w:rsidP="0091707B">
      <w:r>
        <w:t>The descriptions for these elements are included in the data feed in the following sections:</w:t>
      </w:r>
    </w:p>
    <w:p w:rsidR="0091707B" w:rsidRPr="0091707B" w:rsidRDefault="0091707B" w:rsidP="0091707B">
      <w:pPr>
        <w:pStyle w:val="ListParagraph"/>
        <w:numPr>
          <w:ilvl w:val="0"/>
          <w:numId w:val="4"/>
        </w:numPr>
      </w:pPr>
      <w:proofErr w:type="spellStart"/>
      <w:r w:rsidRPr="0091707B">
        <w:rPr>
          <w:rFonts w:ascii="Consolas" w:hAnsi="Consolas" w:cs="Consolas"/>
          <w:b/>
          <w:sz w:val="20"/>
          <w:szCs w:val="20"/>
        </w:rPr>
        <w:t>goodsNomenclature</w:t>
      </w:r>
      <w:proofErr w:type="spellEnd"/>
      <w:r w:rsidR="00E87221">
        <w:rPr>
          <w:rFonts w:ascii="Consolas" w:hAnsi="Consolas" w:cs="Consolas"/>
          <w:b/>
          <w:sz w:val="20"/>
          <w:szCs w:val="20"/>
        </w:rPr>
        <w:t xml:space="preserve"> </w:t>
      </w:r>
      <w:r w:rsidR="00E87221" w:rsidRPr="00E87221">
        <w:rPr>
          <w:rFonts w:cs="Consolas"/>
          <w:sz w:val="20"/>
          <w:szCs w:val="20"/>
        </w:rPr>
        <w:t>(</w:t>
      </w:r>
      <w:proofErr w:type="spellStart"/>
      <w:r w:rsidR="00E87221" w:rsidRPr="00E87221">
        <w:rPr>
          <w:rFonts w:ascii="Consolas" w:hAnsi="Consolas" w:cs="Consolas"/>
          <w:b/>
          <w:sz w:val="20"/>
          <w:szCs w:val="20"/>
        </w:rPr>
        <w:t>goodsNomenclatureDescription</w:t>
      </w:r>
      <w:proofErr w:type="spellEnd"/>
      <w:r w:rsidR="00E87221" w:rsidRPr="00E87221">
        <w:rPr>
          <w:rFonts w:cs="Consolas"/>
          <w:sz w:val="20"/>
          <w:szCs w:val="20"/>
        </w:rPr>
        <w:t>)</w:t>
      </w:r>
      <w:r w:rsidRPr="0091707B">
        <w:rPr>
          <w:b/>
          <w:sz w:val="20"/>
          <w:szCs w:val="20"/>
        </w:rPr>
        <w:t xml:space="preserve"> </w:t>
      </w:r>
      <w:r>
        <w:t>;</w:t>
      </w:r>
    </w:p>
    <w:p w:rsidR="0091707B" w:rsidRPr="0091707B" w:rsidRDefault="0091707B" w:rsidP="0091707B">
      <w:pPr>
        <w:pStyle w:val="ListParagraph"/>
        <w:numPr>
          <w:ilvl w:val="0"/>
          <w:numId w:val="4"/>
        </w:numPr>
      </w:pPr>
      <w:proofErr w:type="spellStart"/>
      <w:r w:rsidRPr="0091707B">
        <w:rPr>
          <w:rFonts w:ascii="Consolas" w:hAnsi="Consolas" w:cs="Consolas"/>
          <w:b/>
          <w:sz w:val="20"/>
          <w:szCs w:val="20"/>
        </w:rPr>
        <w:t>geographicalArea</w:t>
      </w:r>
      <w:proofErr w:type="spellEnd"/>
      <w:r>
        <w:t xml:space="preserve"> (</w:t>
      </w:r>
      <w:proofErr w:type="spellStart"/>
      <w:r w:rsidRPr="0091707B">
        <w:rPr>
          <w:rFonts w:ascii="Consolas" w:hAnsi="Consolas" w:cs="Consolas"/>
          <w:b/>
          <w:sz w:val="20"/>
          <w:szCs w:val="20"/>
        </w:rPr>
        <w:t>geographicalAreaDescription</w:t>
      </w:r>
      <w:proofErr w:type="spellEnd"/>
      <w:r>
        <w:t xml:space="preserve">) – for details of associated Country Codes please also refer to the </w:t>
      </w:r>
      <w:proofErr w:type="spellStart"/>
      <w:r w:rsidRPr="0091707B">
        <w:rPr>
          <w:rFonts w:ascii="Consolas" w:hAnsi="Consolas" w:cs="Consolas"/>
          <w:b/>
          <w:sz w:val="20"/>
          <w:szCs w:val="20"/>
        </w:rPr>
        <w:t>geographicalAreaMembership</w:t>
      </w:r>
      <w:proofErr w:type="spellEnd"/>
      <w:r>
        <w:t xml:space="preserve"> element; and</w:t>
      </w:r>
    </w:p>
    <w:p w:rsidR="0091707B" w:rsidRDefault="0091707B" w:rsidP="0091707B">
      <w:pPr>
        <w:pStyle w:val="ListParagraph"/>
        <w:numPr>
          <w:ilvl w:val="0"/>
          <w:numId w:val="4"/>
        </w:numPr>
      </w:pPr>
      <w:proofErr w:type="spellStart"/>
      <w:r w:rsidRPr="0091707B">
        <w:rPr>
          <w:rFonts w:ascii="Consolas" w:hAnsi="Consolas" w:cs="Consolas"/>
          <w:b/>
          <w:sz w:val="20"/>
          <w:szCs w:val="20"/>
        </w:rPr>
        <w:t>measureType</w:t>
      </w:r>
      <w:proofErr w:type="spellEnd"/>
      <w:r>
        <w:t xml:space="preserve"> (</w:t>
      </w:r>
      <w:proofErr w:type="spellStart"/>
      <w:r w:rsidRPr="0091707B">
        <w:rPr>
          <w:rFonts w:ascii="Consolas" w:hAnsi="Consolas" w:cs="Consolas"/>
          <w:b/>
          <w:sz w:val="20"/>
          <w:szCs w:val="20"/>
        </w:rPr>
        <w:t>measureTypeDescription</w:t>
      </w:r>
      <w:proofErr w:type="spellEnd"/>
      <w:r>
        <w:t>).</w:t>
      </w:r>
    </w:p>
    <w:p w:rsidR="00FF02D0" w:rsidRDefault="00FF02D0" w:rsidP="00FF02D0"/>
    <w:p w:rsidR="009079B1" w:rsidRDefault="009079B1" w:rsidP="00E87221">
      <w:r>
        <w:t>Each measure will be associated with 0 to many Duty Expressions depending on the Measure Type. The most frequently used measure types for duty calculations are, however there are many more depending on the specifics of the customs declaration:</w:t>
      </w:r>
    </w:p>
    <w:p w:rsidR="009079B1" w:rsidRDefault="009079B1" w:rsidP="009079B1">
      <w:pPr>
        <w:pStyle w:val="ListParagraph"/>
        <w:numPr>
          <w:ilvl w:val="0"/>
          <w:numId w:val="5"/>
        </w:numPr>
      </w:pPr>
      <w:r>
        <w:t>103 – Customs Duty;</w:t>
      </w:r>
    </w:p>
    <w:p w:rsidR="009079B1" w:rsidRDefault="009079B1" w:rsidP="009079B1">
      <w:pPr>
        <w:pStyle w:val="ListParagraph"/>
        <w:numPr>
          <w:ilvl w:val="0"/>
          <w:numId w:val="5"/>
        </w:numPr>
      </w:pPr>
      <w:r>
        <w:t>305 – VAT; and</w:t>
      </w:r>
    </w:p>
    <w:p w:rsidR="009079B1" w:rsidRDefault="009079B1" w:rsidP="009079B1">
      <w:pPr>
        <w:pStyle w:val="ListParagraph"/>
        <w:numPr>
          <w:ilvl w:val="0"/>
          <w:numId w:val="5"/>
        </w:numPr>
      </w:pPr>
      <w:r>
        <w:t>306 – Excise.</w:t>
      </w:r>
    </w:p>
    <w:p w:rsidR="00FF02D0" w:rsidRDefault="00FF02D0" w:rsidP="00FF02D0"/>
    <w:p w:rsidR="00973789" w:rsidRDefault="00973789" w:rsidP="00973789">
      <w:r>
        <w:t>The duty expression is contained in the Measure’s Measure component which can contain the following key elements:</w:t>
      </w:r>
    </w:p>
    <w:p w:rsidR="00973789" w:rsidRDefault="00973789" w:rsidP="00973789">
      <w:pPr>
        <w:pStyle w:val="ListParagraph"/>
        <w:numPr>
          <w:ilvl w:val="0"/>
          <w:numId w:val="6"/>
        </w:numPr>
      </w:pPr>
      <w:proofErr w:type="spellStart"/>
      <w:r w:rsidRPr="00FF02D0">
        <w:rPr>
          <w:rFonts w:ascii="Consolas" w:hAnsi="Consolas" w:cs="Consolas"/>
          <w:b/>
          <w:sz w:val="20"/>
          <w:szCs w:val="20"/>
        </w:rPr>
        <w:t>dutyAmount</w:t>
      </w:r>
      <w:proofErr w:type="spellEnd"/>
      <w:r>
        <w:t xml:space="preserve"> – this is the rate value, e.g. 20 for 20% standard VAT;</w:t>
      </w:r>
    </w:p>
    <w:p w:rsidR="00973789" w:rsidRDefault="00973789" w:rsidP="00973789">
      <w:pPr>
        <w:pStyle w:val="ListParagraph"/>
        <w:numPr>
          <w:ilvl w:val="0"/>
          <w:numId w:val="6"/>
        </w:numPr>
      </w:pPr>
      <w:proofErr w:type="spellStart"/>
      <w:r w:rsidRPr="00FF02D0">
        <w:rPr>
          <w:rFonts w:ascii="Consolas" w:hAnsi="Consolas" w:cs="Consolas"/>
          <w:b/>
          <w:sz w:val="20"/>
          <w:szCs w:val="20"/>
        </w:rPr>
        <w:t>dutyExpression</w:t>
      </w:r>
      <w:proofErr w:type="spellEnd"/>
      <w:r>
        <w:t xml:space="preserve"> – this is the type of calculation, e.g. 01 (% or amount);</w:t>
      </w:r>
    </w:p>
    <w:p w:rsidR="00973789" w:rsidRDefault="00973789" w:rsidP="00973789">
      <w:pPr>
        <w:pStyle w:val="ListParagraph"/>
        <w:numPr>
          <w:ilvl w:val="0"/>
          <w:numId w:val="6"/>
        </w:numPr>
      </w:pPr>
      <w:proofErr w:type="spellStart"/>
      <w:r w:rsidRPr="00FF02D0">
        <w:rPr>
          <w:rFonts w:ascii="Consolas" w:hAnsi="Consolas" w:cs="Consolas"/>
          <w:b/>
          <w:sz w:val="20"/>
          <w:szCs w:val="20"/>
        </w:rPr>
        <w:t>measurementUnit</w:t>
      </w:r>
      <w:proofErr w:type="spellEnd"/>
      <w:r>
        <w:t xml:space="preserve"> – this is used when a rate is expressed based on quantity, </w:t>
      </w:r>
      <w:proofErr w:type="spellStart"/>
      <w:r>
        <w:t>e.g</w:t>
      </w:r>
      <w:proofErr w:type="spellEnd"/>
      <w:r>
        <w:t xml:space="preserve"> LTR</w:t>
      </w:r>
      <w:r w:rsidR="00FF02D0">
        <w:t xml:space="preserve"> (litre)</w:t>
      </w:r>
      <w:r>
        <w:t>;</w:t>
      </w:r>
    </w:p>
    <w:p w:rsidR="00973789" w:rsidRDefault="00973789" w:rsidP="00973789">
      <w:pPr>
        <w:pStyle w:val="ListParagraph"/>
        <w:numPr>
          <w:ilvl w:val="0"/>
          <w:numId w:val="6"/>
        </w:numPr>
      </w:pPr>
      <w:proofErr w:type="spellStart"/>
      <w:r w:rsidRPr="00FF02D0">
        <w:rPr>
          <w:rFonts w:ascii="Consolas" w:hAnsi="Consolas" w:cs="Consolas"/>
          <w:b/>
          <w:sz w:val="20"/>
          <w:szCs w:val="20"/>
        </w:rPr>
        <w:t>measurementUnitQualifier</w:t>
      </w:r>
      <w:proofErr w:type="spellEnd"/>
      <w:r>
        <w:t xml:space="preserve"> – this is used when a rate is expressed based on a quantity that has a qualifier, e.g. X (hectolitre)</w:t>
      </w:r>
      <w:r w:rsidR="00FF02D0">
        <w:t>; and</w:t>
      </w:r>
    </w:p>
    <w:p w:rsidR="00FF02D0" w:rsidRDefault="00FF02D0" w:rsidP="00973789">
      <w:pPr>
        <w:pStyle w:val="ListParagraph"/>
        <w:numPr>
          <w:ilvl w:val="0"/>
          <w:numId w:val="6"/>
        </w:numPr>
      </w:pPr>
      <w:proofErr w:type="spellStart"/>
      <w:r w:rsidRPr="00FF02D0">
        <w:rPr>
          <w:b/>
          <w:sz w:val="20"/>
          <w:szCs w:val="20"/>
        </w:rPr>
        <w:t>monetaryUnit</w:t>
      </w:r>
      <w:proofErr w:type="spellEnd"/>
      <w:r>
        <w:t xml:space="preserve"> – this is used when a rate is expressed in another currency, e.g. EUR (Euro).</w:t>
      </w:r>
    </w:p>
    <w:p w:rsidR="00FF02D0" w:rsidRDefault="00FF02D0" w:rsidP="00FF02D0"/>
    <w:p w:rsidR="009079B1" w:rsidRDefault="009079B1" w:rsidP="009079B1">
      <w:r>
        <w:lastRenderedPageBreak/>
        <w:t>Below is an extract from the data feed that demonstrates how the duty expression is connected to the measure and the goods nomenclature</w:t>
      </w:r>
      <w:r w:rsidR="00093F43">
        <w:t>, also highlighted are the Geographical Area and the Measure Type</w:t>
      </w:r>
      <w:r>
        <w: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Measure</w:t>
      </w:r>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9191481</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metainfo</w:t>
      </w:r>
      <w:proofErr w:type="spellEnd"/>
      <w:r>
        <w:rPr>
          <w:rFonts w:ascii="Consolas" w:hAnsi="Consolas" w:cs="Consolas"/>
          <w:color w:val="0000FF"/>
          <w:sz w:val="20"/>
          <w:szCs w:val="20"/>
          <w:highlight w:val="white"/>
        </w:rPr>
        <w:t>&gt;…&lt;/</w:t>
      </w:r>
      <w:proofErr w:type="spellStart"/>
      <w:r>
        <w:rPr>
          <w:rFonts w:ascii="Consolas" w:hAnsi="Consolas" w:cs="Consolas"/>
          <w:color w:val="800000"/>
          <w:sz w:val="20"/>
          <w:szCs w:val="20"/>
          <w:highlight w:val="white"/>
        </w:rPr>
        <w:t>metainfo</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-308297</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justificationRegulationId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IYY99990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justificationRegulationId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justificationRegulationRole</w:t>
      </w:r>
      <w:proofErr w:type="spellEnd"/>
      <w:r>
        <w:rPr>
          <w:rFonts w:ascii="Consolas" w:hAnsi="Consolas" w:cs="Consolas"/>
          <w:color w:val="0000FF"/>
          <w:sz w:val="20"/>
          <w:szCs w:val="20"/>
          <w:highlight w:val="white"/>
        </w:rPr>
        <w:t>&gt; … &lt;/</w:t>
      </w:r>
      <w:proofErr w:type="spellStart"/>
      <w:r>
        <w:rPr>
          <w:rFonts w:ascii="Consolas" w:hAnsi="Consolas" w:cs="Consolas"/>
          <w:color w:val="800000"/>
          <w:sz w:val="20"/>
          <w:szCs w:val="20"/>
          <w:highlight w:val="white"/>
        </w:rPr>
        <w:t>justificationRegulationRole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measureGeneratingRegulationId</w:t>
      </w:r>
      <w:r>
        <w:rPr>
          <w:rFonts w:ascii="Consolas" w:hAnsi="Consolas" w:cs="Consolas"/>
          <w:color w:val="0000FF"/>
          <w:sz w:val="20"/>
          <w:szCs w:val="20"/>
          <w:highlight w:val="white"/>
        </w:rPr>
        <w:t>&gt;</w:t>
      </w:r>
      <w:r>
        <w:rPr>
          <w:rFonts w:ascii="Consolas" w:hAnsi="Consolas" w:cs="Consolas"/>
          <w:color w:val="000000"/>
          <w:sz w:val="20"/>
          <w:szCs w:val="20"/>
          <w:highlight w:val="white"/>
        </w:rPr>
        <w:t>IYY99990</w:t>
      </w:r>
      <w:r>
        <w:rPr>
          <w:rFonts w:ascii="Consolas" w:hAnsi="Consolas" w:cs="Consolas"/>
          <w:color w:val="0000FF"/>
          <w:sz w:val="20"/>
          <w:szCs w:val="20"/>
          <w:highlight w:val="white"/>
        </w:rPr>
        <w:t>&lt;/</w:t>
      </w:r>
      <w:r>
        <w:rPr>
          <w:rFonts w:ascii="Consolas" w:hAnsi="Consolas" w:cs="Consolas"/>
          <w:color w:val="800000"/>
          <w:sz w:val="20"/>
          <w:szCs w:val="20"/>
          <w:highlight w:val="white"/>
        </w:rPr>
        <w:t>measureGeneratingRegulationId</w:t>
      </w:r>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measureGeneratingRegulationRole</w:t>
      </w:r>
      <w:proofErr w:type="spellEnd"/>
      <w:r>
        <w:rPr>
          <w:rFonts w:ascii="Consolas" w:hAnsi="Consolas" w:cs="Consolas"/>
          <w:color w:val="0000FF"/>
          <w:sz w:val="20"/>
          <w:szCs w:val="20"/>
          <w:highlight w:val="white"/>
        </w:rPr>
        <w:t>&gt; … &lt;/</w:t>
      </w:r>
      <w:proofErr w:type="spellStart"/>
      <w:r>
        <w:rPr>
          <w:rFonts w:ascii="Consolas" w:hAnsi="Consolas" w:cs="Consolas"/>
          <w:color w:val="800000"/>
          <w:sz w:val="20"/>
          <w:szCs w:val="20"/>
          <w:highlight w:val="white"/>
        </w:rPr>
        <w:t>measureGeneratingRegulationRole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stoppedFlag</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stoppedFlag</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validityEndDate</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2013-10-31T23:59:59</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validityEndDate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validityStartDate</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2013-10-01T00:00:00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validityStartDate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additionalCode</w:t>
      </w:r>
      <w:proofErr w:type="spellEnd"/>
      <w:r>
        <w:rPr>
          <w:rFonts w:ascii="Consolas" w:hAnsi="Consolas" w:cs="Consolas"/>
          <w:color w:val="0000FF"/>
          <w:sz w:val="20"/>
          <w:szCs w:val="20"/>
          <w:highlight w:val="white"/>
        </w:rPr>
        <w:t>&gt; … &lt;/</w:t>
      </w:r>
      <w:proofErr w:type="spellStart"/>
      <w:r>
        <w:rPr>
          <w:rFonts w:ascii="Consolas" w:hAnsi="Consolas" w:cs="Consolas"/>
          <w:color w:val="800000"/>
          <w:sz w:val="20"/>
          <w:szCs w:val="20"/>
          <w:highlight w:val="white"/>
        </w:rPr>
        <w:t>additionalCode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footnoteAssociationMeasure</w:t>
      </w:r>
      <w:proofErr w:type="spellEnd"/>
      <w:r>
        <w:rPr>
          <w:rFonts w:ascii="Consolas" w:hAnsi="Consolas" w:cs="Consolas"/>
          <w:color w:val="0000FF"/>
          <w:sz w:val="20"/>
          <w:szCs w:val="20"/>
          <w:highlight w:val="white"/>
        </w:rPr>
        <w:t>&gt; … &lt;/</w:t>
      </w:r>
      <w:proofErr w:type="spellStart"/>
      <w:r>
        <w:rPr>
          <w:rFonts w:ascii="Consolas" w:hAnsi="Consolas" w:cs="Consolas"/>
          <w:color w:val="800000"/>
          <w:sz w:val="20"/>
          <w:szCs w:val="20"/>
          <w:highlight w:val="white"/>
        </w:rPr>
        <w:t>footnoteAssociationMeasure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geographicalArea</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23561</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400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geographicalAreaId</w:t>
      </w:r>
      <w:proofErr w:type="spellEnd"/>
      <w:r w:rsidRPr="00093F43">
        <w:rPr>
          <w:rFonts w:ascii="Consolas" w:hAnsi="Consolas" w:cs="Consolas"/>
          <w:color w:val="0000FF"/>
          <w:sz w:val="20"/>
          <w:szCs w:val="20"/>
          <w:highlight w:val="yellow"/>
        </w:rPr>
        <w:t>&gt;</w:t>
      </w:r>
      <w:r w:rsidRPr="00093F43">
        <w:rPr>
          <w:rFonts w:ascii="Consolas" w:hAnsi="Consolas" w:cs="Consolas"/>
          <w:color w:val="000000"/>
          <w:sz w:val="20"/>
          <w:szCs w:val="20"/>
          <w:highlight w:val="yellow"/>
        </w:rPr>
        <w:t>1011</w:t>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geographicalAreaId</w:t>
      </w:r>
      <w:proofErr w:type="spellEnd"/>
      <w:r w:rsidRPr="00093F43">
        <w:rPr>
          <w:rFonts w:ascii="Consolas" w:hAnsi="Consolas" w:cs="Consolas"/>
          <w:color w:val="0000FF"/>
          <w:sz w:val="20"/>
          <w:szCs w:val="20"/>
          <w:highlight w:val="yellow"/>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validityStartDate</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1958-01-01T00:00:00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validityStartDate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geographicalArea</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goodsNomenclature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611731</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93554</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sid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goodsNomenclatureItemId</w:t>
      </w:r>
      <w:proofErr w:type="spellEnd"/>
      <w:r w:rsidRPr="00093F43">
        <w:rPr>
          <w:rFonts w:ascii="Consolas" w:hAnsi="Consolas" w:cs="Consolas"/>
          <w:color w:val="0000FF"/>
          <w:sz w:val="20"/>
          <w:szCs w:val="20"/>
          <w:highlight w:val="yellow"/>
        </w:rPr>
        <w:t>&gt;</w:t>
      </w:r>
      <w:r w:rsidRPr="00093F43">
        <w:rPr>
          <w:rFonts w:ascii="Consolas" w:hAnsi="Consolas" w:cs="Consolas"/>
          <w:color w:val="000000"/>
          <w:sz w:val="20"/>
          <w:szCs w:val="20"/>
          <w:highlight w:val="yellow"/>
        </w:rPr>
        <w:t>1604151110</w:t>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goodsNomenclatureItemId</w:t>
      </w:r>
      <w:proofErr w:type="spellEnd"/>
      <w:r w:rsidRPr="00093F43">
        <w:rPr>
          <w:rFonts w:ascii="Consolas" w:hAnsi="Consolas" w:cs="Consolas"/>
          <w:color w:val="0000FF"/>
          <w:sz w:val="20"/>
          <w:szCs w:val="20"/>
          <w:highlight w:val="yellow"/>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produclineSuffix</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80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produclineSuffix</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validityStartDate</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2011-02-01T00:00:00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validityStartDate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goodsNomenclature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measureComponent</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9191482</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metainfo</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opType</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C</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opType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origin</w:t>
      </w:r>
      <w:r>
        <w:rPr>
          <w:rFonts w:ascii="Consolas" w:hAnsi="Consolas" w:cs="Consolas"/>
          <w:color w:val="0000FF"/>
          <w:sz w:val="20"/>
          <w:szCs w:val="20"/>
          <w:highlight w:val="white"/>
        </w:rPr>
        <w:t>&gt;</w:t>
      </w:r>
      <w:r>
        <w:rPr>
          <w:rFonts w:ascii="Consolas" w:hAnsi="Consolas" w:cs="Consolas"/>
          <w:color w:val="000000"/>
          <w:sz w:val="20"/>
          <w:szCs w:val="20"/>
          <w:highlight w:val="white"/>
        </w:rPr>
        <w:t>N</w:t>
      </w:r>
      <w:r>
        <w:rPr>
          <w:rFonts w:ascii="Consolas" w:hAnsi="Consolas" w:cs="Consolas"/>
          <w:color w:val="0000FF"/>
          <w:sz w:val="20"/>
          <w:szCs w:val="20"/>
          <w:highlight w:val="white"/>
        </w:rPr>
        <w:t>&lt;/</w:t>
      </w:r>
      <w:r>
        <w:rPr>
          <w:rFonts w:ascii="Consolas" w:hAnsi="Consolas" w:cs="Consolas"/>
          <w:color w:val="800000"/>
          <w:sz w:val="20"/>
          <w:szCs w:val="20"/>
          <w:highlight w:val="white"/>
        </w:rPr>
        <w:t>origin</w:t>
      </w:r>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status</w:t>
      </w:r>
      <w:r>
        <w:rPr>
          <w:rFonts w:ascii="Consolas" w:hAnsi="Consolas" w:cs="Consolas"/>
          <w:color w:val="0000FF"/>
          <w:sz w:val="20"/>
          <w:szCs w:val="20"/>
          <w:highlight w:val="white"/>
        </w:rPr>
        <w:t>&gt;</w:t>
      </w:r>
      <w:r>
        <w:rPr>
          <w:rFonts w:ascii="Consolas" w:hAnsi="Consolas" w:cs="Consolas"/>
          <w:color w:val="000000"/>
          <w:sz w:val="20"/>
          <w:szCs w:val="20"/>
          <w:highlight w:val="white"/>
        </w:rPr>
        <w:t>L</w:t>
      </w:r>
      <w:r>
        <w:rPr>
          <w:rFonts w:ascii="Consolas" w:hAnsi="Consolas" w:cs="Consolas"/>
          <w:color w:val="0000FF"/>
          <w:sz w:val="20"/>
          <w:szCs w:val="20"/>
          <w:highlight w:val="white"/>
        </w:rPr>
        <w:t>&lt;/</w:t>
      </w:r>
      <w:r>
        <w:rPr>
          <w:rFonts w:ascii="Consolas" w:hAnsi="Consolas" w:cs="Consolas"/>
          <w:color w:val="800000"/>
          <w:sz w:val="20"/>
          <w:szCs w:val="20"/>
          <w:highlight w:val="white"/>
        </w:rPr>
        <w:t>status</w:t>
      </w:r>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transactionDate</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2019-03-27T11:55:14</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transactionDate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metainfo</w:t>
      </w:r>
      <w:proofErr w:type="spellEnd"/>
      <w:r>
        <w:rPr>
          <w:rFonts w:ascii="Consolas" w:hAnsi="Consolas" w:cs="Consolas"/>
          <w:color w:val="0000FF"/>
          <w:sz w:val="20"/>
          <w:szCs w:val="20"/>
          <w:highlight w:val="white"/>
        </w:rPr>
        <w:t>&gt;</w:t>
      </w:r>
    </w:p>
    <w:p w:rsidR="00093F43" w:rsidRPr="00093F43" w:rsidRDefault="00093F43" w:rsidP="00093F43">
      <w:pPr>
        <w:autoSpaceDE w:val="0"/>
        <w:autoSpaceDN w:val="0"/>
        <w:adjustRightInd w:val="0"/>
        <w:spacing w:after="0" w:line="240" w:lineRule="auto"/>
        <w:rPr>
          <w:rFonts w:ascii="Consolas" w:hAnsi="Consolas" w:cs="Consolas"/>
          <w:color w:val="000000"/>
          <w:sz w:val="20"/>
          <w:szCs w:val="20"/>
          <w:highlight w:val="yellow"/>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dutyAmount</w:t>
      </w:r>
      <w:proofErr w:type="spellEnd"/>
      <w:r w:rsidRPr="00093F43">
        <w:rPr>
          <w:rFonts w:ascii="Consolas" w:hAnsi="Consolas" w:cs="Consolas"/>
          <w:color w:val="0000FF"/>
          <w:sz w:val="20"/>
          <w:szCs w:val="20"/>
          <w:highlight w:val="yellow"/>
        </w:rPr>
        <w:t>&gt;</w:t>
      </w:r>
      <w:r w:rsidRPr="00093F43">
        <w:rPr>
          <w:rFonts w:ascii="Consolas" w:hAnsi="Consolas" w:cs="Consolas"/>
          <w:color w:val="000000"/>
          <w:sz w:val="20"/>
          <w:szCs w:val="20"/>
          <w:highlight w:val="yellow"/>
        </w:rPr>
        <w:t>0.0000</w:t>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dutyAmount</w:t>
      </w:r>
      <w:proofErr w:type="spellEnd"/>
      <w:r w:rsidRPr="00093F43">
        <w:rPr>
          <w:rFonts w:ascii="Consolas" w:hAnsi="Consolas" w:cs="Consolas"/>
          <w:color w:val="0000FF"/>
          <w:sz w:val="20"/>
          <w:szCs w:val="20"/>
          <w:highlight w:val="yellow"/>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dutyExpression</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10830</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dutyExpressionId</w:t>
      </w:r>
      <w:proofErr w:type="spellEnd"/>
      <w:r w:rsidRPr="00093F43">
        <w:rPr>
          <w:rFonts w:ascii="Consolas" w:hAnsi="Consolas" w:cs="Consolas"/>
          <w:color w:val="0000FF"/>
          <w:sz w:val="20"/>
          <w:szCs w:val="20"/>
          <w:highlight w:val="yellow"/>
        </w:rPr>
        <w:t>&gt;</w:t>
      </w:r>
      <w:r w:rsidRPr="00093F43">
        <w:rPr>
          <w:rFonts w:ascii="Consolas" w:hAnsi="Consolas" w:cs="Consolas"/>
          <w:color w:val="000000"/>
          <w:sz w:val="20"/>
          <w:szCs w:val="20"/>
          <w:highlight w:val="yellow"/>
        </w:rPr>
        <w:t>01</w:t>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dutyExpressionId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dutyExpression</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measureComponent</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measureType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r>
        <w:rPr>
          <w:rFonts w:ascii="Consolas" w:hAnsi="Consolas" w:cs="Consolas"/>
          <w:color w:val="000000"/>
          <w:sz w:val="20"/>
          <w:szCs w:val="20"/>
          <w:highlight w:val="white"/>
        </w:rPr>
        <w:t>10885</w:t>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hjid</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measureTypeId</w:t>
      </w:r>
      <w:proofErr w:type="spellEnd"/>
      <w:r w:rsidRPr="00093F43">
        <w:rPr>
          <w:rFonts w:ascii="Consolas" w:hAnsi="Consolas" w:cs="Consolas"/>
          <w:color w:val="0000FF"/>
          <w:sz w:val="20"/>
          <w:szCs w:val="20"/>
          <w:highlight w:val="yellow"/>
        </w:rPr>
        <w:t>&gt;</w:t>
      </w:r>
      <w:r w:rsidRPr="00093F43">
        <w:rPr>
          <w:rFonts w:ascii="Consolas" w:hAnsi="Consolas" w:cs="Consolas"/>
          <w:color w:val="000000"/>
          <w:sz w:val="20"/>
          <w:szCs w:val="20"/>
          <w:highlight w:val="yellow"/>
        </w:rPr>
        <w:t>305</w:t>
      </w:r>
      <w:r w:rsidRPr="00093F43">
        <w:rPr>
          <w:rFonts w:ascii="Consolas" w:hAnsi="Consolas" w:cs="Consolas"/>
          <w:color w:val="0000FF"/>
          <w:sz w:val="20"/>
          <w:szCs w:val="20"/>
          <w:highlight w:val="yellow"/>
        </w:rPr>
        <w:t>&lt;/</w:t>
      </w:r>
      <w:proofErr w:type="spellStart"/>
      <w:r w:rsidRPr="00093F43">
        <w:rPr>
          <w:rFonts w:ascii="Consolas" w:hAnsi="Consolas" w:cs="Consolas"/>
          <w:color w:val="800000"/>
          <w:sz w:val="20"/>
          <w:szCs w:val="20"/>
          <w:highlight w:val="yellow"/>
        </w:rPr>
        <w:t>measureTypeId</w:t>
      </w:r>
      <w:proofErr w:type="spellEnd"/>
      <w:r w:rsidRPr="00093F43">
        <w:rPr>
          <w:rFonts w:ascii="Consolas" w:hAnsi="Consolas" w:cs="Consolas"/>
          <w:color w:val="0000FF"/>
          <w:sz w:val="20"/>
          <w:szCs w:val="20"/>
          <w:highlight w:val="yellow"/>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measureType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proofErr w:type="spellStart"/>
      <w:r>
        <w:rPr>
          <w:rFonts w:ascii="Consolas" w:hAnsi="Consolas" w:cs="Consolas"/>
          <w:color w:val="800000"/>
          <w:sz w:val="20"/>
          <w:szCs w:val="20"/>
          <w:highlight w:val="white"/>
        </w:rPr>
        <w:t>regulationRoleType</w:t>
      </w:r>
      <w:proofErr w:type="spellEnd"/>
      <w:r>
        <w:rPr>
          <w:rFonts w:ascii="Consolas" w:hAnsi="Consolas" w:cs="Consolas"/>
          <w:color w:val="0000FF"/>
          <w:sz w:val="20"/>
          <w:szCs w:val="20"/>
          <w:highlight w:val="white"/>
        </w:rPr>
        <w:t>&gt; … &lt;/</w:t>
      </w:r>
      <w:proofErr w:type="spellStart"/>
      <w:r>
        <w:rPr>
          <w:rFonts w:ascii="Consolas" w:hAnsi="Consolas" w:cs="Consolas"/>
          <w:color w:val="800000"/>
          <w:sz w:val="20"/>
          <w:szCs w:val="20"/>
          <w:highlight w:val="white"/>
        </w:rPr>
        <w:t>regulationRoleType</w:t>
      </w:r>
      <w:proofErr w:type="spellEnd"/>
      <w:r>
        <w:rPr>
          <w:rFonts w:ascii="Consolas" w:hAnsi="Consolas" w:cs="Consolas"/>
          <w:color w:val="0000FF"/>
          <w:sz w:val="20"/>
          <w:szCs w:val="20"/>
          <w:highlight w:val="white"/>
        </w:rPr>
        <w:t>&gt;</w:t>
      </w:r>
    </w:p>
    <w:p w:rsidR="00093F43" w:rsidRDefault="00093F43" w:rsidP="00093F4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Measure</w:t>
      </w:r>
      <w:r>
        <w:rPr>
          <w:rFonts w:ascii="Consolas" w:hAnsi="Consolas" w:cs="Consolas"/>
          <w:color w:val="0000FF"/>
          <w:sz w:val="20"/>
          <w:szCs w:val="20"/>
          <w:highlight w:val="white"/>
        </w:rPr>
        <w:t>&gt;</w:t>
      </w:r>
    </w:p>
    <w:p w:rsidR="00A30D02" w:rsidRPr="00656431" w:rsidRDefault="00A30D02" w:rsidP="00656431"/>
    <w:p w:rsidR="00656431" w:rsidRDefault="00656431"/>
    <w:sectPr w:rsidR="006564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49E" w:rsidRDefault="00E8449E" w:rsidP="009E0755">
      <w:pPr>
        <w:spacing w:after="0" w:line="240" w:lineRule="auto"/>
      </w:pPr>
      <w:r>
        <w:separator/>
      </w:r>
    </w:p>
  </w:endnote>
  <w:endnote w:type="continuationSeparator" w:id="0">
    <w:p w:rsidR="00E8449E" w:rsidRDefault="00E8449E" w:rsidP="009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49E" w:rsidRDefault="00E8449E" w:rsidP="009E0755">
      <w:pPr>
        <w:spacing w:after="0" w:line="240" w:lineRule="auto"/>
      </w:pPr>
      <w:r>
        <w:separator/>
      </w:r>
    </w:p>
  </w:footnote>
  <w:footnote w:type="continuationSeparator" w:id="0">
    <w:p w:rsidR="00E8449E" w:rsidRDefault="00E8449E" w:rsidP="009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4EF"/>
    <w:multiLevelType w:val="hybridMultilevel"/>
    <w:tmpl w:val="36A0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71282"/>
    <w:multiLevelType w:val="hybridMultilevel"/>
    <w:tmpl w:val="58D6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006212"/>
    <w:multiLevelType w:val="hybridMultilevel"/>
    <w:tmpl w:val="0D4A4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172BA"/>
    <w:multiLevelType w:val="hybridMultilevel"/>
    <w:tmpl w:val="1EDC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D9445D"/>
    <w:multiLevelType w:val="hybridMultilevel"/>
    <w:tmpl w:val="DF82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12457B"/>
    <w:multiLevelType w:val="hybridMultilevel"/>
    <w:tmpl w:val="7B363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31"/>
    <w:rsid w:val="00093F43"/>
    <w:rsid w:val="00656431"/>
    <w:rsid w:val="008B7D30"/>
    <w:rsid w:val="009079B1"/>
    <w:rsid w:val="0091707B"/>
    <w:rsid w:val="00973789"/>
    <w:rsid w:val="009E0755"/>
    <w:rsid w:val="00A30D02"/>
    <w:rsid w:val="00E8449E"/>
    <w:rsid w:val="00E87221"/>
    <w:rsid w:val="00FF0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0D02"/>
    <w:pPr>
      <w:ind w:left="720"/>
      <w:contextualSpacing/>
    </w:pPr>
  </w:style>
  <w:style w:type="paragraph" w:styleId="Header">
    <w:name w:val="header"/>
    <w:basedOn w:val="Normal"/>
    <w:link w:val="HeaderChar"/>
    <w:uiPriority w:val="99"/>
    <w:unhideWhenUsed/>
    <w:rsid w:val="009E0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755"/>
  </w:style>
  <w:style w:type="paragraph" w:styleId="Footer">
    <w:name w:val="footer"/>
    <w:basedOn w:val="Normal"/>
    <w:link w:val="FooterChar"/>
    <w:uiPriority w:val="99"/>
    <w:unhideWhenUsed/>
    <w:rsid w:val="009E0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2019-12-02T15:00:00Z</dcterms:created>
  <dcterms:modified xsi:type="dcterms:W3CDTF">2019-12-02T15:00:00Z</dcterms:modified>
</cp:coreProperties>
</file>