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F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/GoodsItemQuantity</w:t>
            </w:r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where a previous doc comprise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 for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1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1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295A4EAD" w:rsidR="00AC4FEC" w:rsidRPr="005D56B1" w:rsidRDefault="00D7589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TTM5IVL01PKD</w:t>
            </w:r>
            <w:r w:rsidR="008A4028">
              <w:t>A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different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the buyer is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r w:rsidRPr="00F8233E">
              <w:rPr>
                <w:color w:val="000000"/>
              </w:rPr>
              <w:t>AuthorisationHolder/ID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r w:rsidRPr="00F8233E">
              <w:rPr>
                <w:color w:val="000000"/>
              </w:rPr>
              <w:t xml:space="preserve">AuthorisationHolder/CategoryCode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ation/GoodsShipment/TradeTerms/C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odsShipment/TradeTerms/LocationID</w:t>
            </w:r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1422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422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422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D.E. 4/9, D.E. 4/11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lastRenderedPageBreak/>
              <w:t>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lastRenderedPageBreak/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where D.E. 4/17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/GoodsLocation/TypeCode</w:t>
            </w:r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/GoodsLocation/Address/TypeCode</w:t>
            </w:r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 xml:space="preserve">/GoodsLocation/Address/CountryCode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Supervising Office Code for the HMRC Office overseeing the Customs Warehouse procedure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(Peter Bennet House, Leeds)</w:t>
            </w:r>
          </w:p>
        </w:tc>
        <w:tc>
          <w:tcPr>
            <w:tcW w:w="1652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CB57E6">
              <w:t>DeclarationOfficeID</w:t>
            </w:r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Unlike CHIEF this 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lastRenderedPageBreak/>
              <w:t>must now be completed</w:t>
            </w:r>
          </w:p>
        </w:tc>
        <w:tc>
          <w:tcPr>
            <w:tcW w:w="1652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/ContainerCode</w:t>
            </w:r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eclaration/ObligationGuarantee/S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Declaration/ObligationGuarantee/</w:t>
            </w:r>
            <w:r>
              <w:t>SupervisingOffice/ID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</w:t>
            </w:r>
            <w:r>
              <w:rPr>
                <w:rFonts w:cstheme="minorHAnsi"/>
              </w:rPr>
              <w:t>A</w:t>
            </w:r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lastRenderedPageBreak/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A45B4" w14:textId="77777777" w:rsidR="00FE3A51" w:rsidRDefault="00FE3A51">
      <w:pPr>
        <w:spacing w:after="0" w:line="240" w:lineRule="auto"/>
      </w:pPr>
      <w:r>
        <w:separator/>
      </w:r>
    </w:p>
  </w:endnote>
  <w:endnote w:type="continuationSeparator" w:id="0">
    <w:p w14:paraId="691093CF" w14:textId="77777777" w:rsidR="00FE3A51" w:rsidRDefault="00FE3A51">
      <w:pPr>
        <w:spacing w:after="0" w:line="240" w:lineRule="auto"/>
      </w:pPr>
      <w:r>
        <w:continuationSeparator/>
      </w:r>
    </w:p>
  </w:endnote>
  <w:endnote w:type="continuationNotice" w:id="1">
    <w:p w14:paraId="671842FB" w14:textId="77777777" w:rsidR="00FE3A51" w:rsidRDefault="00FE3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ABE5B" w14:textId="77777777" w:rsidR="009D1CE5" w:rsidRDefault="009D1C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D1CE5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D1CE5">
      <w:rPr>
        <w:noProof/>
      </w:rPr>
      <w:t>3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57112" w14:textId="77777777" w:rsidR="009D1CE5" w:rsidRDefault="009D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38FBD" w14:textId="77777777" w:rsidR="00FE3A51" w:rsidRDefault="00FE3A51">
      <w:pPr>
        <w:spacing w:after="0" w:line="240" w:lineRule="auto"/>
      </w:pPr>
      <w:r>
        <w:separator/>
      </w:r>
    </w:p>
  </w:footnote>
  <w:footnote w:type="continuationSeparator" w:id="0">
    <w:p w14:paraId="76A22B94" w14:textId="77777777" w:rsidR="00FE3A51" w:rsidRDefault="00FE3A51">
      <w:pPr>
        <w:spacing w:after="0" w:line="240" w:lineRule="auto"/>
      </w:pPr>
      <w:r>
        <w:continuationSeparator/>
      </w:r>
    </w:p>
  </w:footnote>
  <w:footnote w:type="continuationNotice" w:id="1">
    <w:p w14:paraId="2407B46D" w14:textId="77777777" w:rsidR="00FE3A51" w:rsidRDefault="00FE3A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6B835" w14:textId="77777777" w:rsidR="009D1CE5" w:rsidRDefault="009D1C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4E7A0" w14:textId="291DD219" w:rsidR="00DB25FC" w:rsidRDefault="00FE3A51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5FDB9" w14:textId="77777777" w:rsidR="009D1CE5" w:rsidRDefault="009D1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1CE5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3A51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517B0-453D-470C-8B8D-741242A6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1920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2019-02-27T17:27:00Z</dcterms:created>
  <dcterms:modified xsi:type="dcterms:W3CDTF">2019-02-27T17:27:00Z</dcterms:modified>
</cp:coreProperties>
</file>