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0A5C27CA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4337EF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Tilbury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59ED476F" w:rsidR="002C7FF0" w:rsidRPr="009B5A4A" w:rsidRDefault="004337E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/GovernmentAgencyGoodsItem/GovernmentProcedure</w:t>
            </w:r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1E4C067E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65A1E065" w14:textId="0E2A6D9E" w:rsidR="00CD4190" w:rsidRDefault="00CD4190" w:rsidP="006D705C">
            <w:pPr>
              <w:spacing w:after="0" w:line="240" w:lineRule="auto"/>
            </w:pPr>
          </w:p>
          <w:p w14:paraId="298EF33B" w14:textId="77777777" w:rsidR="00CD4190" w:rsidRDefault="00CD4190" w:rsidP="006D705C">
            <w:pPr>
              <w:spacing w:after="0" w:line="240" w:lineRule="auto"/>
            </w:pPr>
          </w:p>
          <w:p w14:paraId="20EB323A" w14:textId="77777777" w:rsidR="00CD4190" w:rsidRDefault="00CD4190" w:rsidP="006D705C">
            <w:pPr>
              <w:spacing w:after="0" w:line="240" w:lineRule="auto"/>
            </w:pPr>
          </w:p>
          <w:p w14:paraId="6AA0D387" w14:textId="77777777" w:rsidR="00CD4190" w:rsidRDefault="00CD4190" w:rsidP="006D705C">
            <w:pPr>
              <w:spacing w:after="0" w:line="240" w:lineRule="auto"/>
            </w:pPr>
          </w:p>
          <w:p w14:paraId="43457B99" w14:textId="77777777" w:rsidR="00CD4190" w:rsidRDefault="00CD4190" w:rsidP="006D705C">
            <w:pPr>
              <w:spacing w:after="0" w:line="240" w:lineRule="auto"/>
            </w:pPr>
          </w:p>
          <w:p w14:paraId="27AFAE2B" w14:textId="77777777" w:rsidR="00CD4190" w:rsidRDefault="00CD4190" w:rsidP="006D705C">
            <w:pPr>
              <w:spacing w:after="0" w:line="240" w:lineRule="auto"/>
            </w:pPr>
          </w:p>
          <w:p w14:paraId="7AB9F3C8" w14:textId="77777777" w:rsidR="00CD4190" w:rsidRDefault="00CD4190" w:rsidP="006D705C">
            <w:pPr>
              <w:spacing w:after="0" w:line="240" w:lineRule="auto"/>
            </w:pPr>
          </w:p>
          <w:p w14:paraId="0CBC0198" w14:textId="19B97493" w:rsidR="00CD4190" w:rsidRDefault="00CD4190" w:rsidP="006D705C">
            <w:pPr>
              <w:spacing w:after="0" w:line="240" w:lineRule="auto"/>
            </w:pPr>
            <w:r>
              <w:t>ZDCR8GB796458895017-12345</w:t>
            </w: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48ED101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26F0ED3B" w14:textId="77777777" w:rsid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51B19DA9" w:rsidR="00CD4190" w:rsidRP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0F781A3" w14:textId="77777777" w:rsidR="00CD4190" w:rsidRDefault="00CD419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541FBF3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eclaration/GoodsShipment/PreviousDocument</w:t>
            </w:r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r w:rsidRPr="009B5A4A">
              <w:t>na</w:t>
            </w:r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>
            <w:bookmarkStart w:id="0" w:name="_GoBack"/>
            <w:bookmarkEnd w:id="0"/>
          </w:p>
        </w:tc>
      </w:tr>
      <w:tr w:rsidR="002C7FF0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5BD4245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691366" w14:textId="43602E11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EC15A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473DD0F7" w14:textId="77777777" w:rsidR="00450777" w:rsidRDefault="004507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4BB1BC" w14:textId="77777777" w:rsidR="00EC15A1" w:rsidRDefault="00EC15A1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BD46063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C5D46B6" w14:textId="77777777" w:rsidR="00DD18E2" w:rsidRDefault="00DD18E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295997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29DE66B" w14:textId="6706ACCB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CAFD82B" w14:textId="2F634B42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4A0B6E3E" w14:textId="33912AC6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677B0A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560C91DB" w14:textId="77777777" w:rsidR="002C7FF0" w:rsidRPr="009B5A4A" w:rsidRDefault="002C7FF0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9FDC67" w14:textId="77777777" w:rsidR="00B22419" w:rsidRDefault="00081B96" w:rsidP="00B224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 for </w:t>
            </w:r>
            <w:r w:rsidR="00B224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N935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12345/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7A704F9A" w14:textId="31D0DB8A" w:rsidR="00081B96" w:rsidRPr="00FC29DC" w:rsidRDefault="00B22419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 w:rsidDel="00B224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 w:rsidR="003D006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1AABB89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68FFA103" w:rsidR="00081B96" w:rsidRPr="00563EF9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N</w:t>
            </w:r>
            <w:r w:rsidR="00081B96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73EC886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3E9FB8B0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107D0318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41515A3D" w:rsidR="00081B96" w:rsidRPr="00FC29DC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935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5319A4BE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9D1FED8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282A5493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72EA6CE" w14:textId="2E244AAB" w:rsidR="00081B96" w:rsidRPr="00FC29DC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12345/19/02/2019</w:t>
            </w:r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76264E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1429DA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950DE4D" w14:textId="08C2BF29" w:rsidR="00B22419" w:rsidRDefault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2C5548B" w14:textId="77777777" w:rsidR="00B22419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91E7CD4" w14:textId="0702AE29" w:rsidR="005733AF" w:rsidRPr="00CE125E" w:rsidRDefault="00450777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AG</w:t>
            </w:r>
            <w:r w:rsidR="005733A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1A7ACBB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89A41FF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537F2150" w14:textId="00E2B918" w:rsidR="00087F0E" w:rsidRPr="00563EF9" w:rsidRDefault="005733A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</w:p>
          <w:p w14:paraId="14C399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7DC3F41F" w:rsidR="002C7FF0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780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4770_270219_T01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611E237A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361C1B75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7" w:type="dxa"/>
          </w:tcPr>
          <w:p w14:paraId="535D9890" w14:textId="77777777" w:rsidR="002C7FF0" w:rsidRPr="009B5A4A" w:rsidRDefault="002C7FF0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69211F49" w14:textId="1137B36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when warehousing or free zone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41212A80" w:rsidR="002C7FF0" w:rsidRPr="009B5A4A" w:rsidRDefault="005D780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C6050D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Clipper Inc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2D79EBF3" w:rsidR="00267C82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="005D7808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Clipper Inc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3A8BE9B4" w:rsidR="00312A3D" w:rsidRPr="007041F6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6E640C53" w14:textId="77777777" w:rsidR="007041F6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CD9D71" w14:textId="2C770E15" w:rsidR="00312A3D" w:rsidRPr="007041F6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22224403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0F39BE0C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Declaration/Exporter/Address/CountryCode</w:t>
            </w:r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70D9A962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97285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9728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353C896F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Declaration/Exporter/Address/PostcodeID</w:t>
            </w:r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453ED93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20EA24BA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A1225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725115004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31B3EBA1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no. is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518FB0C9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</w:t>
            </w:r>
            <w:r w:rsidR="0047169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725115004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2255D4FC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7D49F4EE" w:rsidR="002C7FF0" w:rsidRPr="009B5A4A" w:rsidRDefault="007041F6" w:rsidP="006D705C">
            <w:r>
              <w:t>n</w:t>
            </w:r>
            <w:r w:rsidR="002C7FF0" w:rsidRPr="009B5A4A">
              <w:t>a</w:t>
            </w:r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Declaration/Agent/FunctionCode</w:t>
            </w:r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36874110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0BEF927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16B5679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3239FDE4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34AE3DEC" w14:textId="67FEE176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B8A5F3A" w14:textId="3459AC7F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FD61CEB" w14:textId="7D555138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7777777" w:rsidR="002C7FF0" w:rsidRPr="009B5A4A" w:rsidRDefault="002C7FF0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req’d</w:t>
            </w:r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4FBCB62E" w14:textId="6F837C78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6C07141B" w14:textId="1CD3C7E2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Immediate Payment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andatory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The location code for Tilbury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C14A7E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Parts for shavers, hair clippers and hair-removing appliances, with self-contained electric motor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/GovernmentAgencyGoodsItem/Packaging/TypeCode</w:t>
            </w:r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69E6FC7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85109000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45539AB8" w:rsidR="00173F3A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5DED7B96" w:rsidR="00173F3A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EA23394" w14:textId="0F101585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EC2CFF9" w14:textId="33DE5FC8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750D3F3D" w:rsidR="00173F3A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2977" w:type="dxa"/>
          </w:tcPr>
          <w:p w14:paraId="5FA6F32F" w14:textId="6A7B972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EDB18AC" w14:textId="22A9C1AF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65DE61" w16cid:durableId="204726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26F20" w14:textId="77777777" w:rsidR="00CD6731" w:rsidRDefault="00CD6731">
      <w:pPr>
        <w:spacing w:after="0" w:line="240" w:lineRule="auto"/>
      </w:pPr>
      <w:r>
        <w:separator/>
      </w:r>
    </w:p>
  </w:endnote>
  <w:endnote w:type="continuationSeparator" w:id="0">
    <w:p w14:paraId="1C531A2F" w14:textId="77777777" w:rsidR="00CD6731" w:rsidRDefault="00CD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2B2D" w14:textId="77777777" w:rsidR="008D221D" w:rsidRDefault="008D2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5F6CF300" w:rsidR="007C7F03" w:rsidRDefault="007C7F03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221D"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D221D">
      <w:rPr>
        <w:noProof/>
      </w:rPr>
      <w:t>19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A 4000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7C7F03" w:rsidRDefault="007C7F03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0AF2B" w14:textId="77777777" w:rsidR="008D221D" w:rsidRDefault="008D2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D9A5B" w14:textId="77777777" w:rsidR="00CD6731" w:rsidRDefault="00CD6731">
      <w:pPr>
        <w:spacing w:after="0" w:line="240" w:lineRule="auto"/>
      </w:pPr>
      <w:r>
        <w:separator/>
      </w:r>
    </w:p>
  </w:footnote>
  <w:footnote w:type="continuationSeparator" w:id="0">
    <w:p w14:paraId="52682C7D" w14:textId="77777777" w:rsidR="00CD6731" w:rsidRDefault="00CD6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A908" w14:textId="77777777" w:rsidR="008D221D" w:rsidRDefault="008D2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08EFF91" w:rsidR="007C7F03" w:rsidRDefault="00CD6731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7C7F03">
          <w:t xml:space="preserve">     </w:t>
        </w:r>
      </w:sdtContent>
    </w:sdt>
    <w:r w:rsidR="007C7F03">
      <w:t>Customs (CDS) UCC Policy Interface &amp; Design</w:t>
    </w:r>
    <w:r w:rsidR="007C7F03">
      <w:tab/>
      <w:t>Imports Type A</w:t>
    </w:r>
    <w:r w:rsidR="007C7F03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69EF" w14:textId="77777777" w:rsidR="008D221D" w:rsidRDefault="008D2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15563"/>
    <w:rsid w:val="0004610F"/>
    <w:rsid w:val="000518DB"/>
    <w:rsid w:val="00052BB2"/>
    <w:rsid w:val="00054F9F"/>
    <w:rsid w:val="00081B96"/>
    <w:rsid w:val="00087F0E"/>
    <w:rsid w:val="000A4D42"/>
    <w:rsid w:val="000A5B10"/>
    <w:rsid w:val="000D205B"/>
    <w:rsid w:val="000E10BB"/>
    <w:rsid w:val="0011023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0974"/>
    <w:rsid w:val="00260ED0"/>
    <w:rsid w:val="00267C82"/>
    <w:rsid w:val="00290125"/>
    <w:rsid w:val="0029547A"/>
    <w:rsid w:val="00295871"/>
    <w:rsid w:val="002B5D06"/>
    <w:rsid w:val="002B7438"/>
    <w:rsid w:val="002C003D"/>
    <w:rsid w:val="002C7FF0"/>
    <w:rsid w:val="002E3D67"/>
    <w:rsid w:val="0031281C"/>
    <w:rsid w:val="00312A3D"/>
    <w:rsid w:val="0032462C"/>
    <w:rsid w:val="00337472"/>
    <w:rsid w:val="003540BD"/>
    <w:rsid w:val="00361600"/>
    <w:rsid w:val="00362DC0"/>
    <w:rsid w:val="003752CB"/>
    <w:rsid w:val="00387F9B"/>
    <w:rsid w:val="00393A02"/>
    <w:rsid w:val="003A26D1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6F68"/>
    <w:rsid w:val="00423EBD"/>
    <w:rsid w:val="004337EF"/>
    <w:rsid w:val="0043781D"/>
    <w:rsid w:val="00437A57"/>
    <w:rsid w:val="004461CC"/>
    <w:rsid w:val="00450777"/>
    <w:rsid w:val="004546D2"/>
    <w:rsid w:val="0045620F"/>
    <w:rsid w:val="0045703B"/>
    <w:rsid w:val="004605E9"/>
    <w:rsid w:val="00465E66"/>
    <w:rsid w:val="0047169D"/>
    <w:rsid w:val="00477D12"/>
    <w:rsid w:val="00481C19"/>
    <w:rsid w:val="00496E8A"/>
    <w:rsid w:val="004A150F"/>
    <w:rsid w:val="004C45AE"/>
    <w:rsid w:val="004D15CD"/>
    <w:rsid w:val="004D4BA7"/>
    <w:rsid w:val="004D7401"/>
    <w:rsid w:val="004E4635"/>
    <w:rsid w:val="004F236F"/>
    <w:rsid w:val="0050456B"/>
    <w:rsid w:val="00524908"/>
    <w:rsid w:val="005544F5"/>
    <w:rsid w:val="0057297A"/>
    <w:rsid w:val="005733AF"/>
    <w:rsid w:val="00587A10"/>
    <w:rsid w:val="00596080"/>
    <w:rsid w:val="005B329E"/>
    <w:rsid w:val="005B5588"/>
    <w:rsid w:val="005B69DF"/>
    <w:rsid w:val="005C0302"/>
    <w:rsid w:val="005C76EF"/>
    <w:rsid w:val="005D0515"/>
    <w:rsid w:val="005D487D"/>
    <w:rsid w:val="005D7808"/>
    <w:rsid w:val="005E2F9C"/>
    <w:rsid w:val="005E3FC9"/>
    <w:rsid w:val="005E7EB1"/>
    <w:rsid w:val="00601D0F"/>
    <w:rsid w:val="00613297"/>
    <w:rsid w:val="006134CA"/>
    <w:rsid w:val="00624971"/>
    <w:rsid w:val="006320FA"/>
    <w:rsid w:val="006415A2"/>
    <w:rsid w:val="00641C3C"/>
    <w:rsid w:val="00650378"/>
    <w:rsid w:val="006507F1"/>
    <w:rsid w:val="00666621"/>
    <w:rsid w:val="00673404"/>
    <w:rsid w:val="0068010B"/>
    <w:rsid w:val="006A1DF6"/>
    <w:rsid w:val="006A5F07"/>
    <w:rsid w:val="006A693E"/>
    <w:rsid w:val="006B1310"/>
    <w:rsid w:val="006D29EC"/>
    <w:rsid w:val="006D705C"/>
    <w:rsid w:val="006E0FEE"/>
    <w:rsid w:val="006E4DAB"/>
    <w:rsid w:val="006F2292"/>
    <w:rsid w:val="007041F6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C7F03"/>
    <w:rsid w:val="007D2A60"/>
    <w:rsid w:val="00805C58"/>
    <w:rsid w:val="008157BD"/>
    <w:rsid w:val="008239B9"/>
    <w:rsid w:val="00823C4A"/>
    <w:rsid w:val="0083337C"/>
    <w:rsid w:val="00851688"/>
    <w:rsid w:val="00855C51"/>
    <w:rsid w:val="0087340C"/>
    <w:rsid w:val="00891F84"/>
    <w:rsid w:val="008A1405"/>
    <w:rsid w:val="008A7F0A"/>
    <w:rsid w:val="008C3953"/>
    <w:rsid w:val="008D01B2"/>
    <w:rsid w:val="008D221D"/>
    <w:rsid w:val="008F108D"/>
    <w:rsid w:val="008F3B62"/>
    <w:rsid w:val="00904A58"/>
    <w:rsid w:val="009439FA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2257"/>
    <w:rsid w:val="00A16517"/>
    <w:rsid w:val="00A30B79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178DF"/>
    <w:rsid w:val="00B22419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0ED5"/>
    <w:rsid w:val="00BD23BC"/>
    <w:rsid w:val="00BD5474"/>
    <w:rsid w:val="00BE0BF8"/>
    <w:rsid w:val="00BE29AD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D4190"/>
    <w:rsid w:val="00CD6731"/>
    <w:rsid w:val="00CF1F93"/>
    <w:rsid w:val="00D13441"/>
    <w:rsid w:val="00D4186B"/>
    <w:rsid w:val="00D65645"/>
    <w:rsid w:val="00D97B53"/>
    <w:rsid w:val="00DB60A4"/>
    <w:rsid w:val="00DD18E2"/>
    <w:rsid w:val="00E03F21"/>
    <w:rsid w:val="00E1025D"/>
    <w:rsid w:val="00E155D6"/>
    <w:rsid w:val="00E24098"/>
    <w:rsid w:val="00E2612E"/>
    <w:rsid w:val="00E36F65"/>
    <w:rsid w:val="00E43C46"/>
    <w:rsid w:val="00E44784"/>
    <w:rsid w:val="00E46146"/>
    <w:rsid w:val="00E70E6E"/>
    <w:rsid w:val="00E712D7"/>
    <w:rsid w:val="00E71486"/>
    <w:rsid w:val="00E810C1"/>
    <w:rsid w:val="00E876A9"/>
    <w:rsid w:val="00E9767B"/>
    <w:rsid w:val="00EA370E"/>
    <w:rsid w:val="00EA5418"/>
    <w:rsid w:val="00EA7115"/>
    <w:rsid w:val="00EC15A1"/>
    <w:rsid w:val="00EC3201"/>
    <w:rsid w:val="00ED3174"/>
    <w:rsid w:val="00EE480C"/>
    <w:rsid w:val="00EE5B8C"/>
    <w:rsid w:val="00F13493"/>
    <w:rsid w:val="00F20F98"/>
    <w:rsid w:val="00F42C5F"/>
    <w:rsid w:val="00F64C71"/>
    <w:rsid w:val="00F705EE"/>
    <w:rsid w:val="00F71372"/>
    <w:rsid w:val="00F85700"/>
    <w:rsid w:val="00FB011C"/>
    <w:rsid w:val="00FB7DF7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FB7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DF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DF7"/>
    <w:rPr>
      <w:b/>
      <w:bCs/>
      <w:lang w:eastAsia="en-US"/>
    </w:rPr>
  </w:style>
  <w:style w:type="paragraph" w:styleId="Revision">
    <w:name w:val="Revision"/>
    <w:hidden/>
    <w:uiPriority w:val="99"/>
    <w:semiHidden/>
    <w:rsid w:val="008A7F0A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9816C-CE9D-4017-A2F8-CCC602BDD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2019-03-28T17:53:00Z</dcterms:created>
  <dcterms:modified xsi:type="dcterms:W3CDTF">2019-03-28T17:53:00Z</dcterms:modified>
</cp:coreProperties>
</file>