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2"/>
              </w:rPr>
              <w:t>VIETNAM INFRASTRUCTURE INTELLIGENCE HUB</w:t>
            </w:r>
          </w:p>
        </w:tc>
      </w:tr>
    </w:tbl>
    <w:p/>
    <w:p>
      <w:pPr>
        <w:jc w:val="center"/>
      </w:pPr>
      <w:r>
        <w:rPr>
          <w:b/>
          <w:color w:val="0EA5E9"/>
          <w:sz w:val="40"/>
        </w:rPr>
        <w:t>스마트그리드 고도화 계획</w:t>
      </w:r>
    </w:p>
    <w:p>
      <w:pPr>
        <w:jc w:val="center"/>
      </w:pPr>
      <w:r>
        <w:rPr>
          <w:sz w:val="20"/>
        </w:rPr>
        <w:t>Plan ID: VN-GRID-SMART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EA5E9"/>
          </w:tcPr>
          <w:p>
            <w:r>
              <w:rPr>
                <w:b/>
                <w:color w:val="FFFFFF"/>
                <w:sz w:val="20"/>
              </w:rPr>
              <w:t>보고 기간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2026-04-08 ~ 2026-04-14  (W16/2026)</w:t>
            </w:r>
          </w:p>
        </w:tc>
      </w:tr>
      <w:tr>
        <w:tc>
          <w:tcPr>
            <w:tcW w:type="dxa" w:w="4392"/>
            <w:shd w:val="clear" w:color="auto" w:fill="0EA5E9"/>
          </w:tcPr>
          <w:p>
            <w:r>
              <w:rPr>
                <w:b/>
                <w:color w:val="FFFFFF"/>
                <w:sz w:val="20"/>
              </w:rPr>
              <w:t>근거 법령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0EA5E9"/>
          </w:tcPr>
          <w:p>
            <w:r>
              <w:rPr>
                <w:b/>
                <w:color w:val="FFFFFF"/>
                <w:sz w:val="20"/>
              </w:rPr>
              <w:t>총 투자 규모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0EA5E9"/>
          </w:tcPr>
          <w:p>
            <w:r>
              <w:rPr>
                <w:b/>
                <w:color w:val="FFFFFF"/>
                <w:sz w:val="20"/>
              </w:rPr>
              <w:t>2030 핵심 KPI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0EA5E9"/>
          </w:tcPr>
          <w:p>
            <w:r>
              <w:rPr>
                <w:b/>
                <w:color w:val="FFFFFF"/>
                <w:sz w:val="20"/>
              </w:rPr>
              <w:t>기사 현황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역사 전체 9건 | 보고(2026년) 3건</w:t>
            </w:r>
          </w:p>
        </w:tc>
      </w:tr>
    </w:tbl>
    <w:p/>
    <w:p>
      <w:pPr>
        <w:jc w:val="center"/>
      </w:pPr>
      <w:r>
        <w:rPr>
          <w:sz w:val="18"/>
        </w:rPr>
        <w:t>생성: 2026-04-14 10:42  |  Pipeline v3.0  |  CONFIDENTIAL</w:t>
      </w:r>
    </w:p>
    <w:p>
      <w:r>
        <w:br w:type="page"/>
      </w:r>
    </w:p>
    <w:p>
      <w:pPr>
        <w:pStyle w:val="Heading1"/>
      </w:pPr>
      <w:r>
        <w:rPr>
          <w:color w:val="0EA5E9"/>
          <w:sz w:val="28"/>
        </w:rPr>
        <w:t>1. Executive Briefing</w:t>
      </w:r>
    </w:p>
    <w:p>
      <w:pPr>
        <w:pBdr>
          <w:bottom w:val="single" w:sz="6" w:space="1" w:color="0EA5E9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역사 전체 기사</w:t>
            </w:r>
          </w:p>
        </w:tc>
        <w:tc>
          <w:tcPr>
            <w:tcW w:type="dxa" w:w="2196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보고 기사 (2026년)</w:t>
            </w:r>
          </w:p>
        </w:tc>
        <w:tc>
          <w:tcPr>
            <w:tcW w:type="dxa" w:w="2196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관련성 통과율</w:t>
            </w:r>
          </w:p>
        </w:tc>
        <w:tc>
          <w:tcPr>
            <w:tcW w:type="dxa" w:w="2196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최다 활동 지역</w:t>
            </w:r>
          </w:p>
        </w:tc>
      </w:tr>
      <w:tr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9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3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33%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전국</w:t>
            </w:r>
          </w:p>
        </w:tc>
      </w:tr>
    </w:tbl>
    <w:p/>
    <w:p>
      <w:pPr>
        <w:pStyle w:val="Heading1"/>
      </w:pPr>
      <w:r>
        <w:rPr>
          <w:color w:val="0EA5E9"/>
        </w:rPr>
        <w:t>2. 국가 KPI 목표 및 플랜 개요</w:t>
      </w:r>
    </w:p>
    <w:p>
      <w:pPr>
        <w:pBdr>
          <w:bottom w:val="single" w:sz="6" w:space="1" w:color="0EA5E9"/>
        </w:pBdr>
      </w:pPr>
    </w:p>
    <w:p>
      <w:pPr>
        <w:pStyle w:val="Heading1"/>
      </w:pPr>
      <w:r>
        <w:rPr>
          <w:color w:val="0EA5E9"/>
        </w:rPr>
        <w:t>3. 전국 단위 주요 뉴스 (2026년, 3건)</w:t>
      </w:r>
    </w:p>
    <w:p>
      <w:pPr>
        <w:pBdr>
          <w:bottom w:val="single" w:sz="6" w:space="1" w:color="0EA5E9"/>
        </w:pBdr>
      </w:pPr>
    </w:p>
    <w:p>
      <w:r>
        <w:rPr>
          <w:b/>
          <w:color w:val="0EA5E9"/>
          <w:sz w:val="20"/>
        </w:rPr>
        <w:t xml:space="preserve">[01] </w:t>
      </w:r>
      <w:r>
        <w:rPr>
          <w:b/>
          <w:sz w:val="22"/>
        </w:rPr>
        <w:t>Safe operations ensured during energy transition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📅 2026-04-02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 xml:space="preserve">📰 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🏙️ National / Unspecified</w:t>
            </w:r>
          </w:p>
        </w:tc>
      </w:tr>
    </w:tbl>
    <w:p/>
    <w:p>
      <w:pPr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 전력공사 제2송전공사(PTC2)는 에너지 전환 기간 동안 중부 지역의 안정적인 전력 공급을 위해 2026년 1,280만 달러 규모의 14개 프로젝트를 추진하고 있습니다. 다낭 변전소 확장 및 송전선로 점검을 위한 드론 및 열화상 카메라 도입 등 현대화 기술을 적극 활용하고 있습니다.</w:t>
      </w:r>
    </w:p>
    <w:p>
      <w:pPr>
        <w:ind w:left="432"/>
      </w:pPr>
      <w:r>
        <w:rPr>
          <w:sz w:val="19"/>
        </w:rPr>
        <w:t xml:space="preserve">🇺🇸 </w:t>
      </w:r>
      <w:r>
        <w:rPr>
          <w:sz w:val="19"/>
        </w:rPr>
        <w:t>Power Transmission Company 2 (PTC2) is implementing 14 infrastructure projects in 2026 with a $12.8 million investment to ensure grid safety in Vietnam's central region. The initiative focuses on upgr</w:t>
      </w:r>
    </w:p>
    <w:p>
      <w:pPr>
        <w:ind w:left="432"/>
      </w:pPr>
      <w:r>
        <w:rPr>
          <w:color w:val="1D4ED8"/>
          <w:sz w:val="16"/>
        </w:rPr>
        <w:t>https://vir.com.vn/safe-operations-ensured-during-energy-transition-149831.html</w:t>
      </w:r>
    </w:p>
    <w:p/>
    <w:p>
      <w:pPr>
        <w:pBdr>
          <w:bottom w:val="single" w:sz="6" w:space="1" w:color="E2E8F0"/>
        </w:pBdr>
      </w:pPr>
    </w:p>
    <w:p/>
    <w:p>
      <w:r>
        <w:rPr>
          <w:b/>
          <w:color w:val="0EA5E9"/>
          <w:sz w:val="20"/>
        </w:rPr>
        <w:t xml:space="preserve">[02] </w:t>
      </w:r>
      <w:r>
        <w:rPr>
          <w:b/>
          <w:sz w:val="22"/>
        </w:rPr>
        <w:t>Vietnam Pushes Rooftop Solar and Energy Saving to Secure Power 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📅 2026-03-31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 xml:space="preserve">📰 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🏙️ National / Unspecified</w:t>
            </w:r>
          </w:p>
        </w:tc>
      </w:tr>
    </w:tbl>
    <w:p/>
    <w:p>
      <w:pPr>
        <w:ind w:left="432"/>
      </w:pPr>
      <w:r>
        <w:rPr>
          <w:sz w:val="19"/>
        </w:rPr>
        <w:t xml:space="preserve">🇰🇷 </w:t>
      </w:r>
      <w:r>
        <w:rPr>
          <w:sz w:val="19"/>
        </w:rPr>
        <w:t>팜 민 찐 총리는 국가 에너지 안보를 강화하기 위해 전기 절약과 옥상 태양광 발전 확대를 골자로 하는 주요 지침을 발표했습니다. 정부는 규제 완화와 정책 지원을 통해 자가 소비형 태양광 설치를 장려하고, 500kV 회로-3 송전선로와 같은 전력 인프라 확충을 가속화할 방침입니다.</w:t>
      </w:r>
    </w:p>
    <w:p>
      <w:pPr>
        <w:ind w:left="432"/>
      </w:pPr>
      <w:r>
        <w:rPr>
          <w:sz w:val="19"/>
        </w:rPr>
        <w:t xml:space="preserve">🇺🇸 </w:t>
      </w:r>
      <w:r>
        <w:rPr>
          <w:sz w:val="19"/>
        </w:rPr>
        <w:t>Prime Minister Pham Minh Chinh has issued a directive to strengthen Vietnam's energy security through electricity conservation and the rapid expansion of rooftop solar systems. The plan focuses on str</w:t>
      </w:r>
    </w:p>
    <w:p>
      <w:pPr>
        <w:ind w:left="432"/>
      </w:pPr>
      <w:r>
        <w:rPr>
          <w:color w:val="1D4ED8"/>
          <w:sz w:val="16"/>
        </w:rPr>
        <w:t>https://solarquarter.com/2026/03/31/vietnam-pushes-rooftop-solar-and-energy-savi</w:t>
      </w:r>
    </w:p>
    <w:p/>
    <w:p>
      <w:pPr>
        <w:pBdr>
          <w:bottom w:val="single" w:sz="6" w:space="1" w:color="E2E8F0"/>
        </w:pBdr>
      </w:pPr>
    </w:p>
    <w:p/>
    <w:p>
      <w:r>
        <w:rPr>
          <w:b/>
          <w:color w:val="0EA5E9"/>
          <w:sz w:val="20"/>
        </w:rPr>
        <w:t xml:space="preserve">[03] </w:t>
      </w:r>
      <w:r>
        <w:rPr>
          <w:b/>
          <w:sz w:val="22"/>
        </w:rPr>
        <w:t>Ensuring power transmission grid infrastructure to serve national socio-economic deve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📅 2026-03-28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📰 Nhan Dan English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🏙️ Vietnam</w:t>
            </w:r>
          </w:p>
        </w:tc>
      </w:tr>
    </w:tbl>
    <w:p/>
    <w:p>
      <w:pPr>
        <w:ind w:left="432"/>
      </w:pPr>
      <w:r>
        <w:rPr>
          <w:sz w:val="19"/>
        </w:rPr>
        <w:t xml:space="preserve">🇺🇸 </w:t>
      </w:r>
      <w:r>
        <w:rPr>
          <w:sz w:val="19"/>
        </w:rPr>
        <w:t>The National Power Transmission Corporation (EVNNPT) has set a target to commence construction on 87 projects and complete and energise 86 power transmission projects in 2026. National Power Transmission Corporation launches first digital transformer</w:t>
      </w:r>
    </w:p>
    <w:p>
      <w:pPr>
        <w:ind w:left="432"/>
      </w:pPr>
      <w:r>
        <w:rPr>
          <w:color w:val="1D4ED8"/>
          <w:sz w:val="16"/>
        </w:rPr>
        <w:t>https://en.nhandan.vn/ensuring-power-transmission-grid-infrastructure-to-serve-n</w:t>
      </w:r>
    </w:p>
    <w:p/>
    <w:p>
      <w:pPr>
        <w:pBdr>
          <w:bottom w:val="single" w:sz="6" w:space="1" w:color="E2E8F0"/>
        </w:pBdr>
      </w:pPr>
    </w:p>
    <w:p/>
    <w:p>
      <w:r>
        <w:br w:type="page"/>
      </w:r>
    </w:p>
    <w:p>
      <w:pPr>
        <w:pStyle w:val="Heading1"/>
      </w:pPr>
      <w:r>
        <w:rPr>
          <w:color w:val="0EA5E9"/>
          <w:sz w:val="26"/>
        </w:rPr>
        <w:t>4. Province × Project 진행현황 추적</w:t>
      </w:r>
    </w:p>
    <w:p>
      <w:pPr>
        <w:pBdr>
          <w:bottom w:val="single" w:sz="6" w:space="1" w:color="0EA5E9"/>
        </w:pBdr>
      </w:pPr>
    </w:p>
    <w:p>
      <w:r>
        <w:t>※ 본 플랜은 특정 Province KPI 데이터가 없습니다.</w:t>
      </w:r>
    </w:p>
    <w:p>
      <w:r>
        <w:br w:type="page"/>
      </w:r>
    </w:p>
    <w:p>
      <w:pPr>
        <w:pStyle w:val="Heading1"/>
      </w:pPr>
      <w:r>
        <w:rPr>
          <w:color w:val="0EA5E9"/>
        </w:rPr>
        <w:t>5. Province 활동도 종합</w:t>
      </w:r>
    </w:p>
    <w:p>
      <w:pPr>
        <w:pBdr>
          <w:bottom w:val="single" w:sz="6" w:space="1" w:color="0EA5E9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EA5E9"/>
          </w:tcPr>
          <w:p>
            <w:r>
              <w:rPr>
                <w:b/>
                <w:color w:val="FFFFFF"/>
              </w:rPr>
              <w:t>지방성</w:t>
            </w:r>
          </w:p>
        </w:tc>
        <w:tc>
          <w:tcPr>
            <w:tcW w:type="dxa" w:w="2196"/>
            <w:shd w:val="clear" w:color="auto" w:fill="0EA5E9"/>
          </w:tcPr>
          <w:p>
            <w:r>
              <w:rPr>
                <w:b/>
                <w:color w:val="FFFFFF"/>
              </w:rPr>
              <w:t>건수</w:t>
            </w:r>
          </w:p>
        </w:tc>
        <w:tc>
          <w:tcPr>
            <w:tcW w:type="dxa" w:w="2196"/>
            <w:shd w:val="clear" w:color="auto" w:fill="0EA5E9"/>
          </w:tcPr>
          <w:p>
            <w:r>
              <w:rPr>
                <w:b/>
                <w:color w:val="FFFFFF"/>
              </w:rPr>
              <w:t>비중</w:t>
            </w:r>
          </w:p>
        </w:tc>
        <w:tc>
          <w:tcPr>
            <w:tcW w:type="dxa" w:w="2196"/>
            <w:shd w:val="clear" w:color="auto" w:fill="0EA5E9"/>
          </w:tcPr>
          <w:p>
            <w:r>
              <w:rPr>
                <w:b/>
                <w:color w:val="FFFFFF"/>
              </w:rPr>
              <w:t>활동도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9건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🔴 매우 활발</w:t>
            </w:r>
          </w:p>
        </w:tc>
      </w:tr>
    </w:tbl>
    <w:p/>
    <w:p>
      <w:pPr>
        <w:pStyle w:val="Heading1"/>
      </w:pPr>
      <w:r>
        <w:rPr>
          <w:color w:val="0EA5E9"/>
        </w:rPr>
        <w:t>6. 리스크 및 비즈니스 기회</w:t>
      </w:r>
    </w:p>
    <w:p>
      <w:pPr>
        <w:pBdr>
          <w:bottom w:val="single" w:sz="6" w:space="1" w:color="0EA5E9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EA5E9"/>
          </w:tcPr>
          <w:p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392"/>
            <w:shd w:val="clear" w:color="auto" w:fill="0EA5E9"/>
          </w:tcPr>
          <w:p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🚨 주요 리스크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💡 한국 기업 기회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📈 시장 전망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1"/>
      </w:pPr>
      <w:r>
        <w:rPr>
          <w:color w:val="0EA5E9"/>
        </w:rPr>
        <w:t>7. Appendix — 전체 관련 기사 (9건, 관련성 통과)</w:t>
      </w:r>
    </w:p>
    <w:p>
      <w:pPr>
        <w:pBdr>
          <w:bottom w:val="single" w:sz="6" w:space="1" w:color="0EA5E9"/>
        </w:pBdr>
      </w:pPr>
    </w:p>
    <w:p>
      <w:r>
        <w:rPr>
          <w:color w:val="64748B"/>
          <w:sz w:val="18"/>
        </w:rPr>
        <w:t>※ 관련성 필터 통과 기사 (총 역사 9건 중 9건)</w:t>
        <w:br/>
        <w:t xml:space="preserve">   전체 이력은 Database Excel 파일의 플랜별 시트에서 확인하세요.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날짜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제목 (EN/KO)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출처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지역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2026-04-02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Safe operations ensured during energy transition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2026-03-31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Pushes Rooftop Solar and Energy Saving to Secure Pow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2026-03-28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Ensuring power transmission grid infrastructure to serve nat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Nhan Dan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2024-01-18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EVN kicks off circuit-3 500kV transmission line sections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2023-06-05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Vietnam's Eight National Power Development Plan (PDP8)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MoIT to ensure power supply security for 2026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Vietnam: Power Sector Snapshot - Norton Rose Fulbright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[PDF] Development of Vietnam Smart Grid Roadmap for period u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Smart Grids for Renewable Energy and Energy Efficiency - ESP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