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베트남 환경산업 발전 프로그램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VN-ENV-IND-1894</w:t>
      </w:r>
    </w:p>
    <w:p>
      <w:r>
        <w:t>매칭 임계값: 35 점</w:t>
      </w:r>
    </w:p>
    <w:p/>
    <w:p>
      <w:pPr>
        <w:pStyle w:val="Heading1"/>
      </w:pPr>
      <w:r>
        <w:t>2. 이번 주 관련 뉴스 (0건)</w:t>
      </w:r>
    </w:p>
    <w:p>
      <w:r>
        <w:t>이번 주 매칭된 기사가 없습니다.</w:t>
      </w:r>
    </w:p>
    <w:p>
      <w:pPr>
        <w:pStyle w:val="Heading1"/>
      </w:pPr>
      <w:r>
        <w:t>3. 월간 트렌드 분석</w:t>
      </w:r>
    </w:p>
    <w:p>
      <w:r>
        <w:t>최근 4주 매칭 기사 수: 0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r>
        <w:t>키워드 데이터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