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FFFFFF" w:sz="1"/>
              <w:left w:val="single" w:color="FFFFFF" w:sz="1"/>
              <w:bottom w:val="single" w:color="FFFFFF" w:sz="1"/>
              <w:right w:val="single" w:color="FFFFFF" w:sz="1"/>
            </w:tcBorders>
            <w:shd w:fill="0C2340" w:val="clear"/>
            <w:tcMar>
              <w:top w:type="dxa" w:w="400"/>
              <w:left w:type="dxa" w:w="600"/>
              <w:bottom w:type="dxa" w:w="400"/>
              <w:right w:type="dxa" w:w="600"/>
            </w:tcMar>
          </w:tcPr>
          <w:p>
            <w:pPr>
              <w:jc w:val="center"/>
            </w:pPr>
            <w:r>
              <w:rPr>
                <w:rFonts w:ascii="Arial" w:cs="Arial" w:eastAsia="Arial" w:hAnsi="Arial"/>
                <w:b/>
                <w:bCs/>
                <w:color w:val="FFFFFF"/>
                <w:sz w:val="44"/>
                <w:szCs w:val="44"/>
              </w:rPr>
              <w:t xml:space="preserve">베트남 인프라 MI 주간 보고서</w:t>
            </w:r>
          </w:p>
          <w:p>
            <w:pPr>
              <w:spacing w:before="120"/>
              <w:jc w:val="center"/>
            </w:pPr>
            <w:r>
              <w:rPr>
                <w:rFonts w:ascii="Arial" w:cs="Arial" w:eastAsia="Arial" w:hAnsi="Arial"/>
                <w:color w:val="AADDFF"/>
                <w:sz w:val="24"/>
                <w:szCs w:val="24"/>
              </w:rPr>
              <w:t xml:space="preserve">Vietnam Infrastructure Market Intelligence Report</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0C2340"/>
                <w:sz w:val="19"/>
                <w:szCs w:val="19"/>
              </w:rPr>
              <w:t xml:space="preserve">보고서 기준일</w:t>
            </w:r>
          </w:p>
        </w:tc>
        <w:tc>
          <w:tcPr>
            <w:tcW w:type="dxa" w:w="6960"/>
            <w:tcBorders>
              <w:top w:val="single" w:color="DDDDDD" w:sz="1"/>
              <w:left w:val="single" w:color="DDDDDD" w:sz="1"/>
              <w:bottom w:val="single" w:color="DDDDDD" w:sz="1"/>
              <w:right w:val="single" w:color="DDDDDD" w:sz="1"/>
            </w:tcBorders>
            <w:tcMar>
              <w:top w:type="dxa" w:w="100"/>
              <w:left w:type="dxa" w:w="150"/>
              <w:bottom w:type="dxa" w:w="100"/>
              <w:right w:type="dxa" w:w="150"/>
            </w:tcMar>
          </w:tcPr>
          <w:p>
            <w:r>
              <w:rPr>
                <w:rFonts w:ascii="Arial" w:cs="Arial" w:eastAsia="Arial" w:hAnsi="Arial"/>
                <w:color w:val="1A1A1A"/>
                <w:sz w:val="19"/>
                <w:szCs w:val="19"/>
              </w:rPr>
              <w:t xml:space="preserve">2026-09-05</w:t>
            </w:r>
          </w:p>
        </w:tc>
      </w:tr>
      <w:tr>
        <w:tc>
          <w:tcPr>
            <w:tcW w:type="dxa" w:w="24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0C2340"/>
                <w:sz w:val="19"/>
                <w:szCs w:val="19"/>
              </w:rPr>
              <w:t xml:space="preserve">수집 기간</w:t>
            </w:r>
          </w:p>
        </w:tc>
        <w:tc>
          <w:tcPr>
            <w:tcW w:type="dxa" w:w="6960"/>
            <w:tcBorders>
              <w:top w:val="single" w:color="DDDDDD" w:sz="1"/>
              <w:left w:val="single" w:color="DDDDDD" w:sz="1"/>
              <w:bottom w:val="single" w:color="DDDDDD" w:sz="1"/>
              <w:right w:val="single" w:color="DDDDDD" w:sz="1"/>
            </w:tcBorders>
            <w:tcMar>
              <w:top w:type="dxa" w:w="100"/>
              <w:left w:type="dxa" w:w="150"/>
              <w:bottom w:type="dxa" w:w="100"/>
              <w:right w:type="dxa" w:w="150"/>
            </w:tcMar>
          </w:tcPr>
          <w:p>
            <w:r>
              <w:rPr>
                <w:rFonts w:ascii="Arial" w:cs="Arial" w:eastAsia="Arial" w:hAnsi="Arial"/>
                <w:color w:val="1A1A1A"/>
                <w:sz w:val="19"/>
                <w:szCs w:val="19"/>
              </w:rPr>
              <w:t xml:space="preserve">2026-08-23 ~ 2026-09-05</w:t>
            </w:r>
          </w:p>
        </w:tc>
      </w:tr>
      <w:tr>
        <w:tc>
          <w:tcPr>
            <w:tcW w:type="dxa" w:w="24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0C2340"/>
                <w:sz w:val="19"/>
                <w:szCs w:val="19"/>
              </w:rPr>
              <w:t xml:space="preserve">전체 수집 기사</w:t>
            </w:r>
          </w:p>
        </w:tc>
        <w:tc>
          <w:tcPr>
            <w:tcW w:type="dxa" w:w="6960"/>
            <w:tcBorders>
              <w:top w:val="single" w:color="DDDDDD" w:sz="1"/>
              <w:left w:val="single" w:color="DDDDDD" w:sz="1"/>
              <w:bottom w:val="single" w:color="DDDDDD" w:sz="1"/>
              <w:right w:val="single" w:color="DDDDDD" w:sz="1"/>
            </w:tcBorders>
            <w:tcMar>
              <w:top w:type="dxa" w:w="100"/>
              <w:left w:type="dxa" w:w="150"/>
              <w:bottom w:type="dxa" w:w="100"/>
              <w:right w:type="dxa" w:w="150"/>
            </w:tcMar>
          </w:tcPr>
          <w:p>
            <w:r>
              <w:rPr>
                <w:rFonts w:ascii="Arial" w:cs="Arial" w:eastAsia="Arial" w:hAnsi="Arial"/>
                <w:color w:val="1A1A1A"/>
                <w:sz w:val="19"/>
                <w:szCs w:val="19"/>
              </w:rPr>
              <w:t xml:space="preserve">137건 (신규 90건 포함)</w:t>
            </w:r>
          </w:p>
        </w:tc>
      </w:tr>
      <w:tr>
        <w:tc>
          <w:tcPr>
            <w:tcW w:type="dxa" w:w="24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0C2340"/>
                <w:sz w:val="19"/>
                <w:szCs w:val="19"/>
              </w:rPr>
              <w:t xml:space="preserve">작성 시스템</w:t>
            </w:r>
          </w:p>
        </w:tc>
        <w:tc>
          <w:tcPr>
            <w:tcW w:type="dxa" w:w="6960"/>
            <w:tcBorders>
              <w:top w:val="single" w:color="DDDDDD" w:sz="1"/>
              <w:left w:val="single" w:color="DDDDDD" w:sz="1"/>
              <w:bottom w:val="single" w:color="DDDDDD" w:sz="1"/>
              <w:right w:val="single" w:color="DDDDDD" w:sz="1"/>
            </w:tcBorders>
            <w:tcMar>
              <w:top w:type="dxa" w:w="100"/>
              <w:left w:type="dxa" w:w="150"/>
              <w:bottom w:type="dxa" w:w="100"/>
              <w:right w:type="dxa" w:w="150"/>
            </w:tcMar>
          </w:tcPr>
          <w:p>
            <w:r>
              <w:rPr>
                <w:rFonts w:ascii="Arial" w:cs="Arial" w:eastAsia="Arial" w:hAnsi="Arial"/>
                <w:color w:val="1A1A1A"/>
                <w:sz w:val="19"/>
                <w:szCs w:val="19"/>
              </w:rPr>
              <w:t xml:space="preserve">Claude SA-8 자동 생성 (Anthropic Claude Haiku)</w:t>
            </w:r>
          </w:p>
        </w:tc>
      </w:tr>
    </w:tbl>
    <w:p>
      <w:pPr>
        <w:spacing w:after="160"/>
      </w:pPr>
      <w:r>
        <w:t xml:space="preserve"/>
      </w:r>
    </w:p>
    <w:p>
      <w:pPr>
        <w:pBdr>
          <w:bottom w:val="single" w:color="0d9488" w:sz="4" w:space="1"/>
        </w:pBdr>
        <w:spacing w:after="160" w:before="160"/>
      </w:pPr>
    </w:p>
    <w:p>
      <w:r>
        <w:br w:type="page"/>
      </w:r>
    </w:p>
    <w:p>
      <w:pPr>
        <w:pStyle w:val="Heading1"/>
        <w:spacing w:after="160" w:before="360"/>
      </w:pPr>
      <w:r>
        <w:rPr>
          <w:rFonts w:ascii="Arial" w:cs="Arial" w:eastAsia="Arial" w:hAnsi="Arial"/>
          <w:b/>
          <w:bCs/>
          <w:color w:val="0d9488"/>
          <w:sz w:val="32"/>
          <w:szCs w:val="32"/>
        </w:rPr>
        <w:t xml:space="preserve">Executive Summary — 총괄 분석</w:t>
      </w:r>
    </w:p>
    <w:p>
      <w:pPr>
        <w:pBdr>
          <w:bottom w:val="single" w:color="0d9488" w:sz="4" w:space="1"/>
        </w:pBdr>
        <w:spacing w:after="160" w:before="160"/>
      </w:pPr>
    </w:p>
    <w:p>
      <w:pPr>
        <w:spacing w:after="100"/>
      </w:pPr>
      <w:r>
        <w:rPr>
          <w:rFonts w:ascii="Arial" w:cs="Arial" w:eastAsia="Arial" w:hAnsi="Arial"/>
          <w:color w:val="1A1A1A"/>
          <w:sz w:val="20"/>
          <w:szCs w:val="20"/>
        </w:rPr>
        <w:t xml:space="preserve">[이번 주 3대 주요 동향]</w:t>
      </w:r>
    </w:p>
    <w:p>
      <w:pPr>
        <w:spacing w:after="100"/>
      </w:pPr>
      <w:r>
        <w:rPr>
          <w:rFonts w:ascii="Arial" w:cs="Arial" w:eastAsia="Arial" w:hAnsi="Arial"/>
          <w:color w:val="1A1A1A"/>
          <w:sz w:val="20"/>
          <w:szCs w:val="20"/>
        </w:rPr>
        <w:t xml:space="preserve">1. 푸바이 공항, 2050년 연 1,200만 명 수용 목표 단계적 확장 추진</w:t>
      </w:r>
    </w:p>
    <w:p>
      <w:pPr>
        <w:spacing w:after="100"/>
      </w:pPr>
      <w:r>
        <w:rPr>
          <w:rFonts w:ascii="Arial" w:cs="Arial" w:eastAsia="Arial" w:hAnsi="Arial"/>
          <w:color w:val="1A1A1A"/>
          <w:sz w:val="20"/>
          <w:szCs w:val="20"/>
        </w:rPr>
        <w:t xml:space="preserve">2. 정부 주도로 오염 수자원 복원 시범 사업 및 후에시 JICA ODA 추진</w:t>
      </w:r>
    </w:p>
    <w:p>
      <w:pPr>
        <w:spacing w:after="100"/>
      </w:pPr>
      <w:r>
        <w:rPr>
          <w:rFonts w:ascii="Arial" w:cs="Arial" w:eastAsia="Arial" w:hAnsi="Arial"/>
          <w:color w:val="1A1A1A"/>
          <w:sz w:val="20"/>
          <w:szCs w:val="20"/>
        </w:rPr>
        <w:t xml:space="preserve">3. 글로벌 파트너 연계 저탄소 에너지 전환을 위한 CCUS 협력 모색</w:t>
      </w:r>
    </w:p>
    <w:p>
      <w:pPr>
        <w:spacing w:after="100"/>
      </w:pPr>
      <w:r>
        <w:rPr>
          <w:rFonts w:ascii="Arial" w:cs="Arial" w:eastAsia="Arial" w:hAnsi="Arial"/>
          <w:color w:val="1A1A1A"/>
          <w:sz w:val="20"/>
          <w:szCs w:val="20"/>
        </w:rPr>
        <w:t xml:space="preserve">[섹터별 주요 움직임]</w:t>
      </w:r>
    </w:p>
    <w:p>
      <w:pPr>
        <w:spacing w:after="100"/>
      </w:pPr>
      <w:r>
        <w:rPr>
          <w:rFonts w:ascii="Arial" w:cs="Arial" w:eastAsia="Arial" w:hAnsi="Arial"/>
          <w:color w:val="1A1A1A"/>
          <w:sz w:val="20"/>
          <w:szCs w:val="20"/>
        </w:rPr>
        <w:t xml:space="preserve">Power/에너지: Sinopec 등 국제 파트너와 저탄소 에너지 확대를 위한 글로벌 CCUS(탄소 포집·활용·저장) 협력 이니셔티브 개시.</w:t>
      </w:r>
    </w:p>
    <w:p>
      <w:pPr>
        <w:spacing w:after="100"/>
      </w:pPr>
      <w:r>
        <w:rPr>
          <w:rFonts w:ascii="Arial" w:cs="Arial" w:eastAsia="Arial" w:hAnsi="Arial"/>
          <w:color w:val="1A1A1A"/>
          <w:sz w:val="20"/>
          <w:szCs w:val="20"/>
        </w:rPr>
        <w:t xml:space="preserve">환경인프라: 부총리 주도로 박흥하이 강 등 오염 수자원 복원 시범 사업을 촉구했으며, 후에시는 물 환경 개선 2단계를 위해 JICA ODA 대출 요청.</w:t>
      </w:r>
    </w:p>
    <w:p>
      <w:pPr>
        <w:spacing w:after="100"/>
      </w:pPr>
      <w:r>
        <w:rPr>
          <w:rFonts w:ascii="Arial" w:cs="Arial" w:eastAsia="Arial" w:hAnsi="Arial"/>
          <w:color w:val="1A1A1A"/>
          <w:sz w:val="20"/>
          <w:szCs w:val="20"/>
        </w:rPr>
        <w:t xml:space="preserve">교통산업단지: 베트남 교통부 및 운영사, 푸바이 공항을 2050년까지 연간 승객 1,200만 명 수용 규모로 확장하는 단계적 마스터플랜 추진.</w:t>
      </w:r>
    </w:p>
    <w:p>
      <w:pPr>
        <w:spacing w:after="80"/>
      </w:pPr>
      <w:r>
        <w:t xml:space="preserve"/>
      </w:r>
    </w:p>
    <w:p>
      <w:r>
        <w:br w:type="page"/>
      </w:r>
    </w:p>
    <w:p>
      <w:pPr>
        <w:pStyle w:val="Heading1"/>
        <w:spacing w:after="160" w:before="360"/>
      </w:pPr>
      <w:r>
        <w:rPr>
          <w:rFonts w:ascii="Arial" w:cs="Arial" w:eastAsia="Arial" w:hAnsi="Arial"/>
          <w:b/>
          <w:bCs/>
          <w:color w:val="0C2340"/>
          <w:sz w:val="32"/>
          <w:szCs w:val="32"/>
        </w:rPr>
        <w:t xml:space="preserve">플랜 분석 [1/19]: 전국 고형폐기물 통합관리 국가전략 2025/2050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2E7D32"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전국 고형폐기물 통합관리 국가전략 2025/2050</w:t>
            </w:r>
          </w:p>
          <w:p>
            <w:r>
              <w:rPr>
                <w:rFonts w:ascii="Arial" w:cs="Arial" w:eastAsia="Arial" w:hAnsi="Arial"/>
                <w:color w:val="5F5E5A"/>
                <w:sz w:val="18"/>
                <w:szCs w:val="18"/>
              </w:rPr>
              <w:t xml:space="preserve">플랜 ID: VN-SWM-NATIONAL-2030  |  섹터: Solid Waste</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전국 고형폐기물 관리 전략(Decision 491/QD-TTg, 2018.5.7, 2009년 결정 2149/QD-TTg 대체) [확인됨]은 2030년까지 WtE(폐기물 에너지화) 비율을 50%로 높이고 매립 의존도를 획기적으로 낮추는 것이 핵심이다. [Cowork 팩트체크 2026-07-16, 판정: 부분사실→사실관계 규명] 하노이 속선(Soc Son) WtE 발전소를 둘러싼 '2022년 가동설'과 '2025.10 준공설'은 서로 모순되는 정보가 아니라, 단계별 건설의 서로 다른 시점을 가리킨다. 운영사 티엔이하노이환경에너지(Thien Y Ha Noi)의 1호기(15MW)가 2022.7.25경 국가 전력망에 최초 연계됐고, 이후 2호기(30MW)·3호기(45MW)가 순차 완공되어 2025.10.13 하노이시 주관으로 전체 시설(총 90MW, 당초 설계 75MW에서 PDP8 승인 후 상향)의 공식 준공식이 열렸다. 일일 처리량은 5,000톤/일이 정확한 수치로 확인되며, 기존 '4,000~5,000톤' 표기는 단계별 확장과정을 반영한 근사치로 대체로 부합한다. EPR(생산자책임재활용) 규정 시행, 재활용 기반 강화가 중기 정책 방향이다. [V4.1 업데이트] 2026년 6월 24일 자라이성 롱미(Long My) 생활폐기물 처리 및 WtE 발전소(800톤/일, 15MW, 사업비 6,070만 달러)가 공식 착공되었다.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도시 폐기물 수거율</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100%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95% (2025 목표 수준)</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WtE 소각 비율</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50%</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30% 목표 (2025), 속선(90MW, 5,000톤/일 전체가동 확인)·남선 WtE 가동으로 상승 중</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매립 의존율</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30% 이하</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속선·다프억 WtE 가동으로 현저히 감소 중</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속선 (Soc Son) WtE</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총 90MW (1호기15MW+2호기30MW+3호기45MW), 5,000톤/일</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(속선현)</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다프억 (Da Phuoc)</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10,000 톤/일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남선 (Nam Son) WtE</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4,000 톤/일</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빈즈엉 처리장</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1,500 톤/일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빈즈엉</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푸손 (Phu Son)</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600 톤/일</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트어티엔후에</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타일라이 (Thoi Lai)</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400 톤/일</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껀터</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박닌 WtE (VSIP)</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1,000 톤/일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박닌</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쿠찌 (Cu Chi) WtE</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2,000 톤/일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푸꾸옥 (Phu Quoc)</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500 톤/일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끼엔장</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탄호아-롱안</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300→500 톤/일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롱안</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차우파 (Chau Pha) WtE 신규</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부지 5ha+</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협의중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바리아붕따우</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AMACCAO-Thanh Cong 2호기</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미공개</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자랄라이(Gia Lai) 신규 2개소</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봉선 250톤/일, 가오 300톤/일</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협의중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자랄라이성</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자라이성 롱미(Long My) WtE 발전소</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800톤/일, 15MW</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자라이성</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**이번 주 핵심 진행사항 (사업 추진 현황):** 베트남 정부의 '전국 고형폐기물 통합관리 국가전략 2025/2050'에 발맞추어 지방정부 중심의 환경 인프라 확충 및 관리 정책이 본격화되고 있으며, 약 975억 동 규모의 샘 부아(Sam Bua) 고형폐기물 처리장 가동 임박, 탄화(Thanh Hoa)성의 도시 환경 정화 사업 추진, 호찌민시의 2027년 생활폐기물 의무 분리배출 및 수수료 체계 개편안 마련 등 인프라 가동과 제도적 정비가 동시에 진행 중입니다.</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**투자 및 사업 기회 시그널 (한국 기업 관점):** 호찌민시의 2027년 폐기물 의무 분리배출 및 처리 요금제 시행은 폐기물 분류·수거 솔루션, 리사이클링 기술, 스마트 환경 관리 플랫폼에 대한 수요 증가를 시사하며, 현지 정부 및 다국적 기업(유니레버 등)과의 협력을 통한 국내 환경 EPC 및 스마트 환경 솔루션 기업의 베트남 시장 진출 기회가 확대될 것으로 전망됩니다.</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**리스크 또는 지연 징후 (없으면 특이사항 없음):** 현재 수집된 기사 기준 프로젝트 지연이나 사업 중단에 대한 특이사항은 없으나, 호찌민시의 2027년 신규 요금제 개편 및 의무화 시행 과정에서 주민 수용성 확보와 수거 체계의 실효성 확보 여부가 단기적인 제도 안착의 변수로 작용할 수 있습니다.</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2건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곧 '쓰레기의 산‘ 샘 부아를 구출하기 위해 975억 동 (VND) 규모의 고형 폐기물 처리장을 가동할 예정입니다.</w:t>
            </w:r>
          </w:p>
          <w:p>
            <w:pPr>
              <w:spacing w:before="40"/>
            </w:pPr>
            <w:r>
              <w:rPr>
                <w:rFonts w:ascii="Arial" w:cs="Arial" w:eastAsia="Arial" w:hAnsi="Arial"/>
                <w:color w:val="5F5E5A"/>
                <w:sz w:val="16"/>
                <w:szCs w:val="16"/>
              </w:rPr>
              <w:t xml:space="preserve">① Sam Bua 고형폐기물 처리장 ② 975억 동(약 5천만 달러) 규모 ③ 운영 준비 중(2026년 9월 기준 곧 가동) ④ 베트남 정부 주도 프로젝트 ⑤ 즉시 운영 개시 예정. Sam Bua '쓰레기 산' 문제...</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2026-09-04</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탄화 (Thanh Hoa): 도시 질서 대폭 회복 - 환경 청소에 공무원과 지도자 참여</w:t>
            </w:r>
          </w:p>
          <w:p>
            <w:pPr>
              <w:spacing w:before="40"/>
            </w:pPr>
            <w:r>
              <w:rPr>
                <w:rFonts w:ascii="Arial" w:cs="Arial" w:eastAsia="Arial" w:hAnsi="Arial"/>
                <w:color w:val="5F5E5A"/>
                <w:sz w:val="16"/>
                <w:szCs w:val="16"/>
              </w:rPr>
              <w:t xml:space="preserve">①사업명: 탄호아 도시질서 복구 및 환경미화사업 ②규모: 명시되지 않음 ③현재진행단계: 운영 중 ④주요기관: 탄호아성 정부, 지역 관계자 및 지도부 ⑤핵심일정: 2026년 9월 5일 환경미화 활동 실시. VN-SWM...</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2026-09-05</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호치민시의 가정 폐기물 수집, 운송 및 처리에 대한 새로운 가격 규정</w:t>
            </w:r>
          </w:p>
          <w:p>
            <w:pPr>
              <w:spacing w:before="40"/>
            </w:pPr>
            <w:r>
              <w:rPr>
                <w:rFonts w:ascii="Arial" w:cs="Arial" w:eastAsia="Arial" w:hAnsi="Arial"/>
                <w:color w:val="5F5E5A"/>
                <w:sz w:val="16"/>
                <w:szCs w:val="16"/>
              </w:rPr>
              <w:t xml:space="preserve">호찌민시 생활폐기물 분류수거·운반·처리 요금제 ② 2027년부터 의무 시행 예정 ③ 계획 단계 ④ 호찌민시 농업환경부, 유니레버 베트남, GRAC ⑤ 2027년 의무적 폐기물 분류 시행 예정, 탄미 지역 시범 MRF...</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VAN (Vietnam News Agency)</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2026-09-01</w:t>
            </w:r>
          </w:p>
        </w:tc>
      </w:tr>
    </w:tbl>
    <w:p>
      <w:pPr>
        <w:spacing w:after="160"/>
      </w:pPr>
      <w:r>
        <w:t xml:space="preserve"/>
      </w:r>
    </w:p>
    <w:p>
      <w:pPr>
        <w:pBdr>
          <w:bottom w:val="single" w:color="2E7D32"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[2/19]: 수자원법 2023 + 국가 수자원 전략 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1565C0"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2</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수자원법 2023 + 국가 수자원 전략 2030</w:t>
            </w:r>
          </w:p>
          <w:p>
            <w:r>
              <w:rPr>
                <w:rFonts w:ascii="Arial" w:cs="Arial" w:eastAsia="Arial" w:hAnsi="Arial"/>
                <w:color w:val="5F5E5A"/>
                <w:sz w:val="18"/>
                <w:szCs w:val="18"/>
              </w:rPr>
              <w:t xml:space="preserve">플랜 ID: VN-WAT-RESOURCES  |  섹터: Water Supply/Drainage</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2023년 11월 27일 전면 개정된 수자원법(Law 28/2023/QH15) [확인됨]은 유역통합관리(IWRM), 행정수단에서 경제수단(수자원이용료·로열티)으로의 전환, 하천 최소유량 규정, 지하수 취수 허가제 의무화를 골자로 한다. 베트남 수자원의 약 60%가 국경 밖에서 유입되는 구조적 취약성과 메콩델타 건기 염수침투 심화가 배경이다. [Cowork 팩트체크 2026-07-16] '2026 건기 메콩델타 염수침투' 악화로 4개 지류 41.6km 이상 관측 확인. ADB·세계은행 지원 하에 메콩델타 수자원 인프라 현대화가 가속 중이다. [Cowork 팩트체크 2026-07-16, 판정: 확인됨] 정부는 2026.6.26 Nghị quyết(결의) 166/NQ-CP를 발표해 메콩델타 지반침하·홍수·가뭄·염해 대응 국가실행계획(~2035)을 수립했다. 하천모래 채취·지하수 취수·주택건설 관리 강화, 상습침수·고위험지역 주민 이주, 광역·다목적 인프라 및 조기경보체계 우선투자를 규정한다.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지하수 관리 대수층</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전국 27개 완전 관리</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12개 관리 중</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중복 댐·저수지 안전진단</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100% 완료</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65% 완료</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메콩델타 건기 염수침투 거리 (4‰ 염분경계선)</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관리목표 미상 (신규지표)</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40~70km 도달 (2026 기준)</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메콩델타 수자원 현대화</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대규모 인프라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메콩델타</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홍강 유역 홍수 관리</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유역통합관리</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협의중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홍강 유역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메콩강 MRC 모니터링</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예측 시스템</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메콩강</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죽은 강(Dead River) 복원 사업</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미정</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(또리히강·뉴에강·다이강)</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메콩델타 국가실행계획 (Nghị quyết 166/NQ-CP)</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국가행동계획</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메콩델타 전역</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**이번 주 핵심 진행사항 (사업 추진 현황)**</w:t>
      </w:r>
    </w:p>
    <w:p>
      <w:pPr>
        <w:spacing w:after="100"/>
      </w:pPr>
      <w:r>
        <w:rPr>
          <w:rFonts w:ascii="Arial" w:cs="Arial" w:eastAsia="Arial" w:hAnsi="Arial"/>
          <w:color w:val="1A1A1A"/>
          <w:sz w:val="20"/>
          <w:szCs w:val="20"/>
        </w:rPr>
        <w:t xml:space="preserve">  베트남 응에안성 정부와 환경부가 국가 수자원 전략 2030 및 수자원법(2023)에 발맞추어 우기 대비 배수 병목 현상을 해결하기 위한 긴급 정비 사업 계획을 수립하였으며, 수자원 관리 인프라 확충 기조 속에서 동남아 주요 수처리 전시회인 'Vietwater 2026' 개최 준비가 본격화되고 있습니다.</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**투자 및 사업 기회 시그널 (한국 기업 관점)**</w:t>
      </w:r>
    </w:p>
    <w:p>
      <w:pPr>
        <w:spacing w:after="100"/>
      </w:pPr>
      <w:r>
        <w:rPr>
          <w:rFonts w:ascii="Arial" w:cs="Arial" w:eastAsia="Arial" w:hAnsi="Arial"/>
          <w:color w:val="1A1A1A"/>
          <w:sz w:val="20"/>
          <w:szCs w:val="20"/>
        </w:rPr>
        <w:t xml:space="preserve">  지방정부 차원의 도시 배수·홍수 방지 인프라 정비 수요가 구체화되고 글로벌 수처리 산업 플랫폼인 'Vietwater 2026'이 추진됨에 따라, 고효율 하수처리 및 스마트 배수 제어 기술을 보유한 한국 기업들에게 베트남 시장 내 기술 홍보, 현지 파트너십 확보, 프로젝트 참여 기회가 확대될 것으로 전망됩니다.</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**리스크 또는 지연 징후 (없으면 특이사항 없음)**</w:t>
      </w:r>
    </w:p>
    <w:p>
      <w:pPr>
        <w:spacing w:after="100"/>
      </w:pPr>
      <w:r>
        <w:rPr>
          <w:rFonts w:ascii="Arial" w:cs="Arial" w:eastAsia="Arial" w:hAnsi="Arial"/>
          <w:color w:val="1A1A1A"/>
          <w:sz w:val="20"/>
          <w:szCs w:val="20"/>
        </w:rPr>
        <w:t xml:space="preserve">  응에안성의 배수 정비 사업은 우기 전 긴급 처리를 목표로 하고 있으나, 구체적인 사업 규모와 예산이 미확정된 초기 계획 단계이므로 우기 내 공사 지연 및 행정 절차에 따른 착공 차질 가능성을 유의할 필요가 있습니다.</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2건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Nghe An: 장마 전 배수 병목 현상의 과감한 처리</w:t>
            </w:r>
          </w:p>
          <w:p>
            <w:pPr>
              <w:spacing w:before="40"/>
            </w:pPr>
            <w:r>
              <w:rPr>
                <w:rFonts w:ascii="Arial" w:cs="Arial" w:eastAsia="Arial" w:hAnsi="Arial"/>
                <w:color w:val="5F5E5A"/>
                <w:sz w:val="16"/>
                <w:szCs w:val="16"/>
              </w:rPr>
              <w:t xml:space="preserve">① 응에안성 우기 전 배수 막힘 현상 해결 사업
② 구체적 규모 미기재
③ 계획 단계
④ 응에안성 정부, 환경부
⑤ 우기 전 긴급 처리 (2026년 9월)</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2026-09-04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Vietwater 2026 Expo – 물 및 폐수 처리 기술 기업을 위한 최고의 비즈니스 플랫폼</w:t>
            </w:r>
          </w:p>
          <w:p>
            <w:pPr>
              <w:spacing w:before="40"/>
            </w:pPr>
            <w:r>
              <w:rPr>
                <w:rFonts w:ascii="Arial" w:cs="Arial" w:eastAsia="Arial" w:hAnsi="Arial"/>
                <w:color w:val="5F5E5A"/>
                <w:sz w:val="16"/>
                <w:szCs w:val="16"/>
              </w:rPr>
              <w:t xml:space="preserve">①Vietwater 2026 Expo(제17회 베트남 국제 수처리·하수처리 기술 전시회) ②전 세계 40여 개국 450개 이상 기업, 11,000명 이상 전문 참관객 참여 ③계획 단계(2026년 11월 4-6일 개최...</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환경타임즈, 마이페어</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2026-11-04</w:t>
            </w:r>
          </w:p>
        </w:tc>
      </w:tr>
    </w:tbl>
    <w:p>
      <w:pPr>
        <w:spacing w:after="160"/>
      </w:pPr>
      <w:r>
        <w:t xml:space="preserve"/>
      </w:r>
    </w:p>
    <w:p>
      <w:pPr>
        <w:pBdr>
          <w:bottom w:val="single" w:color="1565C0"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[3/19]: 국가 상수도 개발전략 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1565C0"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3</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국가 상수도 개발전략 2030</w:t>
            </w:r>
          </w:p>
          <w:p>
            <w:r>
              <w:rPr>
                <w:rFonts w:ascii="Arial" w:cs="Arial" w:eastAsia="Arial" w:hAnsi="Arial"/>
                <w:color w:val="5F5E5A"/>
                <w:sz w:val="18"/>
                <w:szCs w:val="18"/>
              </w:rPr>
              <w:t xml:space="preserve">플랜 ID: VN-WAT-URBAN  |  섹터: Water Supply/Drainage</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상수도 분야 실제 근거법령은 Decision 2502/QD-TTg(2016.12.22, '베트남 도시·산업단지 상수도 개발방향 조정', 2009년 결정 1929/QD-TTg 대체) [확인됨]로 추정됩니다. 이 결정문은 2025년까지 전 도시지역 100% 상수도 보급, 2급 이상 도시 비수익수(NRW) 15% 이하 달성을 목표로 하며, 개별 프로젝트는 명시하지 않는 정책방향 문서입니다. 하단 projects 목록은 기존 파이프라인이 수집한 개별 지방 정수장 사업 정보입니다.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도시 안전 상수 보급률</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100% (전 도시, 2025)</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95% 수준 (2025)</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1인당 공급량</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150 L/일 (평균 목표)</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120 L/일 (2025 목표)</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누수율(NRW)</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15% 이하 (2급 이상 도시, 2025)</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20% 이하 (2025 목표)</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송다 (Song Da)</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600,000 m³/일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화빈</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투득 (Thu Duc)</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500,000 m³/일</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수집된 기사를 바탕으로 작성한 경영진 보고용 인사이트입니다.</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**이번 주 핵심 진행사항 (사업 추진 현황)**</w:t>
      </w:r>
    </w:p>
    <w:p>
      <w:pPr>
        <w:spacing w:after="100"/>
      </w:pPr>
      <w:r>
        <w:rPr>
          <w:rFonts w:ascii="Arial" w:cs="Arial" w:eastAsia="Arial" w:hAnsi="Arial"/>
          <w:color w:val="1A1A1A"/>
          <w:sz w:val="20"/>
          <w:szCs w:val="20"/>
        </w:rPr>
        <w:t xml:space="preserve">  베트남 수도권 및 주요 산업시설 관련 기관과 독일·일본 등 40여 개국 450개 이상의 전시업체가 참가하는 물·폐수 처리 기술 전시회 'Vietwater 2026'이 호치민 개최를 목표로 계획 단계에 착수하며 국가 상수도 개발전략 2030 관련 기술 교류 및 사업 추진의 기반을 마련하고 있습니다.</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**투자 및 사업 기회 시그널 (한국 기업 관점)**</w:t>
      </w:r>
    </w:p>
    <w:p>
      <w:pPr>
        <w:spacing w:after="100"/>
      </w:pPr>
      <w:r>
        <w:rPr>
          <w:rFonts w:ascii="Arial" w:cs="Arial" w:eastAsia="Arial" w:hAnsi="Arial"/>
          <w:color w:val="1A1A1A"/>
          <w:sz w:val="20"/>
          <w:szCs w:val="20"/>
        </w:rPr>
        <w:t xml:space="preserve">  베트남 정부의 2030 국가 상수도 개발전략에 따라 수도권 및 산업단지 중심의 첨단 수처리·폐수처리 인프라 수요가 확대될 것으로 예상되므로, 한국 기업은 본 전시회 참가를 통해 현지 정부·발주처 및 글로벌 파트너사와의 네트워크를 구축하고 시장 진출 기회를 모색할 수 있습니다.</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**리스크 또는 지연 징후 (없으면 특이사항 없음)**</w:t>
      </w:r>
    </w:p>
    <w:p>
      <w:pPr>
        <w:spacing w:after="100"/>
      </w:pPr>
      <w:r>
        <w:rPr>
          <w:rFonts w:ascii="Arial" w:cs="Arial" w:eastAsia="Arial" w:hAnsi="Arial"/>
          <w:color w:val="1A1A1A"/>
          <w:sz w:val="20"/>
          <w:szCs w:val="20"/>
        </w:rPr>
        <w:t xml:space="preserve">  현재 행사 계획 단계로 직접적인 사업 지연이나 규제 관련 리스크 징후는 포착되지 않았으나(특이사항 없음), 독일·일본 등 기술 선진국 기업들의 적극적인 시장 참여로 인한 현지 진출 경쟁 심화 가능성에 유의할 필요가 있습니다.</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호치민에서 물 및 폐수 처리 기술을 선보이는 Vietwater 2026 전시회</w:t>
            </w:r>
          </w:p>
          <w:p>
            <w:pPr>
              <w:spacing w:before="40"/>
            </w:pPr>
            <w:r>
              <w:rPr>
                <w:rFonts w:ascii="Arial" w:cs="Arial" w:eastAsia="Arial" w:hAnsi="Arial"/>
                <w:color w:val="5F5E5A"/>
                <w:sz w:val="16"/>
                <w:szCs w:val="16"/>
              </w:rPr>
              <w:t xml:space="preserve">①Vietwater 2026 전시회 ②450개 이상 전시업체, 40개국 이상 참가, 11,000명 이상 방문예상 ③계획단계 ④베트남 수도권·산업시설 관련기관, 독일·일본 등 국제참가자 ⑤2026년 11월 4-6일 호...</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Vietwater 2026 Organizers, Environmental Business Review</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2026-08-28</w:t>
            </w:r>
          </w:p>
        </w:tc>
      </w:tr>
    </w:tbl>
    <w:p>
      <w:pPr>
        <w:spacing w:after="160"/>
      </w:pPr>
      <w:r>
        <w:t xml:space="preserve"/>
      </w:r>
    </w:p>
    <w:p>
      <w:pPr>
        <w:pBdr>
          <w:bottom w:val="single" w:color="1565C0"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[4/19]: 폐수처리 인프라 국가 마스터플랜 2021~2030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0d9488"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4</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폐수처리 인프라 국가 마스터플랜 2021~2030</w:t>
            </w:r>
          </w:p>
          <w:p>
            <w:r>
              <w:rPr>
                <w:rFonts w:ascii="Arial" w:cs="Arial" w:eastAsia="Arial" w:hAnsi="Arial"/>
                <w:color w:val="5F5E5A"/>
                <w:sz w:val="18"/>
                <w:szCs w:val="18"/>
              </w:rPr>
              <w:t xml:space="preserve">플랜 ID: VN-WW-2030  |  섹터: Waste Water</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국가 폐수처리 마스터플랜(Decision 589/QD-TTg 2016.4.6) [확인됨]은 도시 폐수처리율을 2025년 50%, 2030년 85%로 끌어올리는 것을 목표로 한다. 하노이 옌짜(Yen Xa) WWTP(27만㎥/일)가 2025년 준공되었고, 호치민 빈흥(Binh Hung) 2단계가 2024년 준공식을 열어 최대 시설로 부상했다. [V4.1 업데이트] 2026년 7월 호치민시 인민위원회는 2026-2030년 최우선 투자 대상 하수처리 프로젝트 4건(탐르엉-벤깟 2단계, 박사이공 2, 남사이공 1단계, 북서부)을 선정하여 공식 발표했다.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도시 폐수처리율</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85% (2030)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2025년 목표 50%</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신규 WWTP 용량</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2,900,000 m³/일</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약 800,000 m³/일 기존 운영</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옌짜 (Yen Xa)</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270,000 m³/일</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(Thanh Tri)</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호아이득 (Hoai Duc)</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$16.5M 규모</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(호아이득현)</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빈흥 (Binh Hung)</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469,000 m³/일 (2단계 확장)</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(Binh Chanh)</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탐르엉-벤깟 하수처리장 건설 사업 (2단계)</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230,000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박사이공 2 하수처리장</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140,000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남사이공 하수처리 1단계</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132,000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북서부 하수처리장</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280,000 m³/일</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이번 주 핵심 진행사항 (사업 추진 현황): 아시아개발은행(ADB)이 베트남 칸호아성(Khanh Hoa) 하수도 인프라 구축 사업에 2조 3,000억 동(약 1억 1,500만 달러) 규모의 자금을 제공하기로 승인함에 따라, 해당 프로젝트가 자금 조성 및 세부 설계 단계에 본격 진입했습니다.</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투자 및 사업 기회 시그널 (한국 기업 관점): ADB 다자개발은행(MDB) 차관 재원으로 추진되는 사업 특성상 투명한 국제경쟁입찰(ICB) 방식의 발주가 예상되며, 세부 설계 컨설팅, 수처리 설비·기자재 공급, 하수처리장 및 관로망 EPC 입찰 등에서 국내 수처리 및 엔지니어링 기업의 참여 기회가 확대될 것으로 분석됩니다.</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리스크 또는 지연 징후 (없으면 특이사항 없음): 현재 승인 완료 후 세부 설계가 정상적으로 진행 중인 초기 단계로, 사업 지연이나 부정적 리스크 요인 등의 특이사항은 없습니다.</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2건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ADB, Khanh Hoa의 폐수 인프라에 2조 3천억 VND 제공</w:t>
            </w:r>
          </w:p>
          <w:p>
            <w:pPr>
              <w:spacing w:before="40"/>
            </w:pPr>
            <w:r>
              <w:rPr>
                <w:rFonts w:ascii="Arial" w:cs="Arial" w:eastAsia="Arial" w:hAnsi="Arial"/>
                <w:color w:val="5F5E5A"/>
                <w:sz w:val="16"/>
                <w:szCs w:val="16"/>
              </w:rPr>
              <w:t xml:space="preserve">①칸호아성 하수도 인프라 사업 ②2.3조 VND(약 1.15억 달러) ③계획/승인 단계 ④아시아개발은행(ADB), 칸호아성 정부 ⑤자금 조성 및 세부 설계 단계. VN-WW-2030 마스터플랜에 따른 국가 폐수처리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 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2026-08-27</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
            </w:r>
          </w:p>
        </w:tc>
      </w:tr>
    </w:tbl>
    <w:p>
      <w:pPr>
        <w:spacing w:after="160"/>
      </w:pPr>
      <w:r>
        <w:t xml:space="preserve"/>
      </w:r>
    </w:p>
    <w:p>
      <w:pPr>
        <w:pBdr>
          <w:bottom w:val="single" w:color="0d9488"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[5/19]: 석유가스 개발전략 2030 — PVN 국가 에너지 안보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37474F"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5</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석유가스 개발전략 2030 — PVN 국가 에너지 안보</w:t>
            </w:r>
          </w:p>
          <w:p>
            <w:r>
              <w:rPr>
                <w:rFonts w:ascii="Arial" w:cs="Arial" w:eastAsia="Arial" w:hAnsi="Arial"/>
                <w:color w:val="5F5E5A"/>
                <w:sz w:val="18"/>
                <w:szCs w:val="18"/>
              </w:rPr>
              <w:t xml:space="preserve">플랜 ID: VN-OG-2030  |  섹터: Oil &amp; Gas</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베트남 석유가스공사(PVN)는 노후 유전 생산 감소에 대응해 심해 탐사와 LNG 공급망 구축을 병행 추진 중이다. 국내 석유·가스 비축·공급 인프라 국가계획인 Decision 861/QD-TTg(2023.7.18)가 근접한 법령이다. PV GAS의 두 핵심 LNG 터미널 — 티바이(Thi Vai) LNG(연 100만톤→300만톤 확장)와 손미(Son My) LNG(1단계 연 360만톤, 2027년 이후 가동 예정) — 가 국내 LNG 공급망의 축이다.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원유 생산량</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8~10백만 톤/년</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11백만 톤/년 (유지 목표)</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석유·가스 비축 인프라</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최대 25일 (2030년 이후)</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20일 (2021~2030년 목표수준)</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바흐호 유전 (Bach Ho)</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원유 생산</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바리아붕따우 해상</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손미 (Son My) LNG 터미널</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1단계 연 360만톤</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빈투언성</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이번 주 핵심 진행사항 (사업 추진 현황): 미국과 이란 간 군사 충돌 재개에 따른 지정학적 리스크로 국제 유가가 상승세를 기록함에 따라, 베트남 국영석유가스그룹(PVN)의 '석유가스 개발전략 2030(VN-OG-2030)'을 기반으로 한 국가 에너지 안보 강화 및 자국 내 원유 수급 안정화 대책 추진의 중요성이 크게 부각되고 있습니다.</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투자 및 사업 기회 시그널 (한국 기업 관점): 글로벌 에너지 공급망 불안 심화로 베트남 정부와 PVN의 자국 내 해상 광구 개발 및 에너지 인프라 고도화 투자가 촉진될 것으로 예상되며, 이에 따라 한국 기업은 해양 플랜트 EPC, 자원 개발 협력, 유정 보안 및 인프라 솔루션 분야에서 신규 수주 기회를 확보할 수 있습니다.</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리스크 또는 지연 징후 (없으면 특이사항 없음): 중동발 지정학적 불안정성 장기화 및 국제 유가 변동성 확대는 원자재 가격 상승과 자재 조달 비용 증가를 유발하여, 베트남 석유가스 인프라 프로젝트의 사업비 부담 증대 및 공기 지연 리스크로 작용할 수 있습니다.</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3건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최근의 전투가 중동 공급 중단 위험을 부활시킴에 따라 유가 상승</w:t>
            </w:r>
          </w:p>
          <w:p>
            <w:pPr>
              <w:spacing w:before="40"/>
            </w:pPr>
            <w:r>
              <w:rPr>
                <w:rFonts w:ascii="Arial" w:cs="Arial" w:eastAsia="Arial" w:hAnsi="Arial"/>
                <w:color w:val="5F5E5A"/>
                <w:sz w:val="16"/>
                <w:szCs w:val="16"/>
              </w:rPr>
              <w:t xml:space="preserve">이 기사는 베트남 석유가스 부문(VN-OG-2030)과 직접적인 관련성이 없습니다. 미국-이란 중동 분쟁으로 인한 유가 상승(4%)에 관한 글로벌 에너지 시장 뉴스이며, 베트남의 구체적인 석유가스 인프라 사업명, 규...</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channelnewsasia</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2026-09-01</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미국-이란 파업이 재개됨에 따라 공급에 대한 두려움이 커짐에 따라 2% 이상 석유 공급 증가</w:t>
            </w:r>
          </w:p>
          <w:p>
            <w:pPr>
              <w:spacing w:before="40"/>
            </w:pPr>
            <w:r>
              <w:rPr>
                <w:rFonts w:ascii="Arial" w:cs="Arial" w:eastAsia="Arial" w:hAnsi="Arial"/>
                <w:color w:val="5F5E5A"/>
                <w:sz w:val="16"/>
                <w:szCs w:val="16"/>
              </w:rPr>
              <w:t xml:space="preserve">베트남 석유가스 2030 마스터플랜(VN-OG-2030) 관련 시장 분석: 미국-이란 군사 충돌 심화로 유가 4% 상승, 공급 차질 우려 확대. 2026년 9월 기준 유정 보안 리스크 증대로 베트남의 에너지 공급망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channelnewsasia</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2026-09-01</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미국-이란의 파업 재개로 공급 우려가 촉발되면서 유가는 약 2% 상승했습니다.</w:t>
            </w:r>
          </w:p>
          <w:p>
            <w:pPr>
              <w:spacing w:before="40"/>
            </w:pPr>
            <w:r>
              <w:rPr>
                <w:rFonts w:ascii="Arial" w:cs="Arial" w:eastAsia="Arial" w:hAnsi="Arial"/>
                <w:color w:val="5F5E5A"/>
                <w:sz w:val="16"/>
                <w:szCs w:val="16"/>
              </w:rPr>
              <w:t xml:space="preserve">베트남 석유가스 마스터플랜(VN-OG-2030) 관련 기사. 미국-이란 군사충돌로 유가 4% 상승하며 공급 우려 심화. 중동 지정학적 불안정이 글로벌 에너지 시장에 직접 영향. 베트남의 석유가스 수급 안정성 및 에너...</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channelnewsasia</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2026-09-01</w:t>
            </w:r>
          </w:p>
        </w:tc>
      </w:tr>
    </w:tbl>
    <w:p>
      <w:pPr>
        <w:spacing w:after="160"/>
      </w:pPr>
      <w:r>
        <w:t xml:space="preserve"/>
      </w:r>
    </w:p>
    <w:p>
      <w:pPr>
        <w:pBdr>
          <w:bottom w:val="single" w:color="37474F"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[6/19]: LNG 발전 인수보장 + 닌투언 LNG 허브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E65100"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6</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LNG 발전 인수보장 + 닌투언 LNG 허브</w:t>
            </w:r>
          </w:p>
          <w:p>
            <w:r>
              <w:rPr>
                <w:rFonts w:ascii="Arial" w:cs="Arial" w:eastAsia="Arial" w:hAnsi="Arial"/>
                <w:color w:val="5F5E5A"/>
                <w:sz w:val="18"/>
                <w:szCs w:val="18"/>
              </w:rPr>
              <w:t xml:space="preserve">플랜 ID: VN-PWR-PDP8-LNG  |  섹터: Power</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Decree 100/2025/ND-CP(2025.5.8) [확인됨]은 수입 LNG 발전사업의 최소 장기 인수량(Qc)을 다년 평균발전량 대비 65% 이상으로 보장하고, 최대 10년간 요금 전가 메커니즘을 법제화했다. Qc 75%·15년 확대 제안은 현재 여전히 검토 중이다. 닌투언 소재 까나(Ca Na) LNG(1,500MW)가 EIA 심사 중이다. [V4.1 업데이트] 2026년 7월 기준, 대형 하이퐁 LNG(4.8GW) 사업은 개발사 빈그룹의 공식 철회 제안 및 재생에너지 전환으로 보류 위기이나, 응에안성 Quynh Lap LNG(1.5GW, SK Innovation 컨소시엄)는 공식 개발자로 선정되며 추진 동력을 확보했다.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LNG 발전 용량</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22,524MW(PDP8 개정치)</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약 3,000 MW</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최소 장기 인수량(Qc, 수입LNG 발전)</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65% (COD 후 최대 10년)</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2025.5.8 Decree 100 시행</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까나 (Ca Na) LNG 1단계</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1,500MW, 약 US$21.3억</w:t>
            </w:r>
          </w:p>
        </w:tc>
        <w:tc>
          <w:tcPr>
            <w:tcW w:type="dxa" w:w="1800"/>
            <w:tcBorders>
              <w:top w:val="single" w:color="DDDDDD" w:sz="1"/>
              <w:left w:val="single" w:color="DDDDDD" w:sz="1"/>
              <w:bottom w:val="single" w:color="DDDDDD" w:sz="1"/>
              <w:right w:val="single" w:color="DDDDDD" w:sz="1"/>
            </w:tcBorders>
            <w:shd w:fill="FAEEDA" w:val="clear"/>
            <w:tcMar>
              <w:top w:type="dxa" w:w="100"/>
              <w:left w:type="dxa" w:w="150"/>
              <w:bottom w:type="dxa" w:w="100"/>
              <w:right w:type="dxa" w:w="150"/>
            </w:tcMar>
          </w:tcPr>
          <w:p>
            <w:r>
              <w:rPr>
                <w:rFonts w:ascii="Arial" w:cs="Arial" w:eastAsia="Arial" w:hAnsi="Arial"/>
                <w:b/>
                <w:bCs/>
                <w:color w:val="854F0B"/>
                <w:sz w:val="19"/>
                <w:szCs w:val="19"/>
              </w:rPr>
              <w:t xml:space="preserve">입찰중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닌투언성</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티바이 LNG</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LNG 터미널</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바리아붕따우</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응에안성 Quynh Lap LNG</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1,500MW급</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응에안성</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하이퐁 LNG 발전소 사업</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4.8GW</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지연</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하이퐁</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ℹ️ 금주(최근 14일간) 해당 마스터플랜과 직접 연계된 신규 언론 보도 및 중요 정책 변동 사항이 포착되지 않았습니다. (기존 장기 추진 궤도 유지 중)</w:t>
      </w:r>
    </w:p>
    <w:p>
      <w:pPr>
        <w:spacing w:after="80"/>
      </w:pPr>
      <w:r>
        <w:t xml:space="preserve"/>
      </w:r>
    </w:p>
    <w:p>
      <w:pPr>
        <w:shd w:fill="F1EFE8" w:val="clear"/>
        <w:spacing w:after="80" w:before="80"/>
        <w:ind w:left="240"/>
      </w:pPr>
      <w:r>
        <w:rPr>
          <w:rFonts w:ascii="Arial" w:cs="Arial" w:eastAsia="Arial" w:hAnsi="Arial"/>
          <w:b/>
          <w:bCs/>
          <w:color w:val="5F5E5A"/>
          <w:sz w:val="19"/>
          <w:szCs w:val="19"/>
        </w:rPr>
        <w:t xml:space="preserve">ℹ️ 해당 기간 수집 기사가 없습니다.</w:t>
      </w:r>
    </w:p>
    <w:p>
      <w:pPr>
        <w:spacing w:after="160"/>
      </w:pPr>
      <w:r>
        <w:t xml:space="preserve"/>
      </w:r>
    </w:p>
    <w:p>
      <w:pPr>
        <w:pBdr>
          <w:bottom w:val="single" w:color="E65100"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[7/19]: 원자력 재개 — Resolution 70-NQ/TW (2025) / 닌투언 1·2호기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E65100"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7</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원자력 재개 — Resolution 70-NQ/TW (2025) / 닌투언 1·2호기</w:t>
            </w:r>
          </w:p>
          <w:p>
            <w:r>
              <w:rPr>
                <w:rFonts w:ascii="Arial" w:cs="Arial" w:eastAsia="Arial" w:hAnsi="Arial"/>
                <w:color w:val="5F5E5A"/>
                <w:sz w:val="18"/>
                <w:szCs w:val="18"/>
              </w:rPr>
              <w:t xml:space="preserve">플랜 ID: VN-PWR-PDP8-NUCLEAR  |  섹터: Power</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2025년 8월 정치국 결의(Resolution 70-NQ/TW)로 원자력 재개 추진이 공식화됐다. 국회 결의 174/2024/QH15·189/2025/QH15로 원전사업 특별투자메커니즘이 수립됐다. 닌투언 1호기는 EVN이 투자자로 지정되어 러시아 Rosatom과 협력 중이며, 닌투언 2호기는 일본 철수 후 한국 KEPCO-PVN이 예비 합의(비구속 MOU)를 맺었으나 최종 EPC 파트너는 미확정 상태다. [V4.1 업데이트] 2026년 7월 16일 범정부 회의에서 닌투언 원전 사업을 효율화를 위해 닌투언 1(EVN 주도), 닌투언 2(Petrovietnam 주도), 그리고 보상 및 이주 사업의 3개 독립 프로젝트로 전면 분할 개편할 것을 권고하며 정부 로드맵 가속화 지시를 내렸다.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원자력 발전 용량(2035)</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4,000 MW (2035 목표)</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Decision 768 신규 추가</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 1호기 (Ninh Thuan 1)</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2,000 MW</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닌투언성</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 2호기 (Ninh Thuan 2)</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2,000 MW</w:t>
            </w:r>
          </w:p>
        </w:tc>
        <w:tc>
          <w:tcPr>
            <w:tcW w:type="dxa" w:w="1800"/>
            <w:tcBorders>
              <w:top w:val="single" w:color="DDDDDD" w:sz="1"/>
              <w:left w:val="single" w:color="DDDDDD" w:sz="1"/>
              <w:bottom w:val="single" w:color="DDDDDD" w:sz="1"/>
              <w:right w:val="single" w:color="DDDDDD" w:sz="1"/>
            </w:tcBorders>
            <w:shd w:fill="F1EFE8" w:val="clear"/>
            <w:tcMar>
              <w:top w:type="dxa" w:w="100"/>
              <w:left w:type="dxa" w:w="150"/>
              <w:bottom w:type="dxa" w:w="100"/>
              <w:right w:type="dxa" w:w="150"/>
            </w:tcMar>
          </w:tcPr>
          <w:p>
            <w:r>
              <w:rPr>
                <w:rFonts w:ascii="Arial" w:cs="Arial" w:eastAsia="Arial" w:hAnsi="Arial"/>
                <w:b/>
                <w:bCs/>
                <w:color w:val="5F5E5A"/>
                <w:sz w:val="19"/>
                <w:szCs w:val="19"/>
              </w:rPr>
              <w:t xml:space="preserve">협의중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닌투언성</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 원전 부지 보상 및 주민 이주 독립 프로젝트</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N/A</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닌투언성</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수집된 기사를 바탕으로 작성한 경영진 보고용 인사이트입니다.</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**이번 주 핵심 진행사항 (사업 추진 현황):** 베트남 정부는 원자력 발전 재개 마스터플랜(VN-PWR-PDP8-NUCLEAR) 추진을 위해 해외 베트남 전문가들과 소형모듈원전(SMR) 도입 검토, 전문 인력 양성, 원전 안전성 확보 방안을 논의하는 한편, 러시아 등 주요 우방국과의 전략적 협력 관계를 지속 강화하고 있습니다.</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**투자 및 사업 기회 시그널 (한국 기업 관점):** 베트남이 SMR 도입을 포함한 초기 구상 단계에서 기술·안전 기준 수립 및 인력 개발에 집중하고 있으므로, 독자적 SMR 기술 및 원전 EPC·안전 관리 역량을 갖춘 한국 기업은 초기 타당성 조사, 기술 컨설팅, 전문 인력 교육 프로그램 참여 등 선제적 시장 진입 기회를 확보할 수 있습니다.</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**리스크 또는 지연 징후 (없으면 특이사항 없음):** 현재 원전 개발 프로그램이 계획 및 전략 수립 단계에 있어 구체적인 사업 규모, 예산, 발주 일정 등이 미정이라는 불확실성이 존재하나, 이번 주 수집 기사 기준 사업의 직접적인 지연이나 중단 징후는 없습니다.</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1건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러시아 주재 베트남 대사, 양국 관계의 새로운 이정표를 믿습니다</w:t>
            </w:r>
          </w:p>
          <w:p>
            <w:pPr>
              <w:spacing w:before="40"/>
            </w:pPr>
            <w:r>
              <w:rPr>
                <w:rFonts w:ascii="Arial" w:cs="Arial" w:eastAsia="Arial" w:hAnsi="Arial"/>
                <w:color w:val="5F5E5A"/>
                <w:sz w:val="16"/>
                <w:szCs w:val="16"/>
              </w:rPr>
              <w:t xml:space="preserve">베트남-러시아 양국의 전략적 동반자 관계 강화를 다룬 기사로, 구체적 인프라 사업 정보는 없습니다. 다만 관련 마스터플랜 VN-PWR-PDP8-NUCLEAR는 베트남의 핵전력 개발 계획을 의미하며, 러시아와의 협력 ...</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2026-09-04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해외 베트남 전문가들이 국내 원자력 발전 발전을 위해 노력에 동참</w:t>
            </w:r>
          </w:p>
          <w:p>
            <w:pPr>
              <w:spacing w:before="40"/>
            </w:pPr>
            <w:r>
              <w:rPr>
                <w:rFonts w:ascii="Arial" w:cs="Arial" w:eastAsia="Arial" w:hAnsi="Arial"/>
                <w:color w:val="5F5E5A"/>
                <w:sz w:val="16"/>
                <w:szCs w:val="16"/>
              </w:rPr>
              <w:t xml:space="preserve">① 베트남 핵전력 개발 프로그램
② 구체적 규모 미상(소형모듈원전 SMR 포함)
③ 계획 단계
④ 베트남 정부, 해외 전문가
⑤ 핵전력 현황·기회·인력개발·안전성 확보 논의 진행 중</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2026-08-31</w:t>
            </w:r>
          </w:p>
        </w:tc>
      </w:tr>
    </w:tbl>
    <w:p>
      <w:pPr>
        <w:spacing w:after="160"/>
      </w:pPr>
      <w:r>
        <w:t xml:space="preserve"/>
      </w:r>
    </w:p>
    <w:p>
      <w:pPr>
        <w:pBdr>
          <w:bottom w:val="single" w:color="E65100"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[8/19]: 전력개발계획 PDP8 개정 — 해상풍력·태양광·DPPA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E65100"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8</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전력개발계획 PDP8 개정 — 해상풍력·태양광·DPPA</w:t>
            </w:r>
          </w:p>
          <w:p>
            <w:r>
              <w:rPr>
                <w:rFonts w:ascii="Arial" w:cs="Arial" w:eastAsia="Arial" w:hAnsi="Arial"/>
                <w:color w:val="5F5E5A"/>
                <w:sz w:val="18"/>
                <w:szCs w:val="18"/>
              </w:rPr>
              <w:t xml:space="preserve">플랜 ID: VN-PWR-PDP8-RENEWABLE  |  섹터: Power</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2025년 4월 Decision 768로 PDP8이 전면 개정되며 해상풍력 목표가 대폭 늘었다. [V4.1 업데이트] 2026년 6월 26일 발효된 Decree 243/2026/ND-CP를 통해 DPPA 참여 범위에 산업단지 소매업자, 데이터 센터, 전기차 충전소가 정식 편입되었으며, 자가소비형 루프탑 태양광 잉여전력(50% 초과분)의 그리드 판매 유예기간은 2030년 12월 31일로 확정(Sunset Clause)되었다.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해상풍력(2030)</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17,032 MW</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신규 법적 프레임워크(Decree 272/2026) 시행</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태양광(2030)</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73 GW</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26,046MW → 대폭 상향</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DPPA 가동</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제도 본격 시행</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[V4.1 갱신] Decree 243 발효로 데이터센터/산업단지 소매업자 전면 참여 가능</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해상풍력 Zone 1~6</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17,032 MW (2030)</w:t>
            </w:r>
          </w:p>
        </w:tc>
        <w:tc>
          <w:tcPr>
            <w:tcW w:type="dxa" w:w="1800"/>
            <w:tcBorders>
              <w:top w:val="single" w:color="DDDDDD" w:sz="1"/>
              <w:left w:val="single" w:color="DDDDDD" w:sz="1"/>
              <w:bottom w:val="single" w:color="DDDDDD" w:sz="1"/>
              <w:right w:val="single" w:color="DDDDDD" w:sz="1"/>
            </w:tcBorders>
            <w:shd w:fill="FAEEDA" w:val="clear"/>
            <w:tcMar>
              <w:top w:type="dxa" w:w="100"/>
              <w:left w:type="dxa" w:w="150"/>
              <w:bottom w:type="dxa" w:w="100"/>
              <w:right w:type="dxa" w:w="150"/>
            </w:tcMar>
          </w:tcPr>
          <w:p>
            <w:r>
              <w:rPr>
                <w:rFonts w:ascii="Arial" w:cs="Arial" w:eastAsia="Arial" w:hAnsi="Arial"/>
                <w:b/>
                <w:bCs/>
                <w:color w:val="854F0B"/>
                <w:sz w:val="19"/>
                <w:szCs w:val="19"/>
              </w:rPr>
              <w:t xml:space="preserve">입찰중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남중국해 연안</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SEVT-TTC 득후에2 태양광 DPPA</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49MWp</w:t>
            </w:r>
          </w:p>
        </w:tc>
        <w:tc>
          <w:tcPr>
            <w:tcW w:type="dxa" w:w="1800"/>
            <w:tcBorders>
              <w:top w:val="single" w:color="DDDDDD" w:sz="1"/>
              <w:left w:val="single" w:color="DDDDDD" w:sz="1"/>
              <w:bottom w:val="single" w:color="DDDDDD" w:sz="1"/>
              <w:right w:val="single" w:color="DDDDDD" w:sz="1"/>
            </w:tcBorders>
            <w:shd w:fill="EAF3DE" w:val="clear"/>
            <w:tcMar>
              <w:top w:type="dxa" w:w="100"/>
              <w:left w:type="dxa" w:w="150"/>
              <w:bottom w:type="dxa" w:w="100"/>
              <w:right w:type="dxa" w:w="150"/>
            </w:tcMar>
          </w:tcPr>
          <w:p>
            <w:r>
              <w:rPr>
                <w:rFonts w:ascii="Arial" w:cs="Arial" w:eastAsia="Arial" w:hAnsi="Arial"/>
                <w:b/>
                <w:bCs/>
                <w:color w:val="3B6D11"/>
                <w:sz w:val="19"/>
                <w:szCs w:val="19"/>
              </w:rPr>
              <w:t xml:space="preserve">준공완료</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떠이닌성</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산업단지 및 데이터센터 대상 신규 DPPA 시범 직접거래</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미정</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전국 주요 산단</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수집된 동향 기사를 바탕으로 작성한 경영진 보고용 시장정보(MI) 인사이트는 다음과 같습니다.</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이번 주 핵심 진행사항 (사업 추진 현황)</w:t>
      </w:r>
    </w:p>
    <w:p>
      <w:pPr>
        <w:spacing w:after="100"/>
      </w:pPr>
      <w:r>
        <w:rPr>
          <w:rFonts w:ascii="Arial" w:cs="Arial" w:eastAsia="Arial" w:hAnsi="Arial"/>
          <w:color w:val="1A1A1A"/>
          <w:sz w:val="20"/>
          <w:szCs w:val="20"/>
        </w:rPr>
        <w:t xml:space="preserve">  베트남 정부는 2026년 5월 첫 해상풍력 프로젝트를 공식 승인하였으며, 남중국해의 풍부한 해안선 자원을 활용하여 2035년까지 해상풍력 발전 용량을 최소 6GW에서 최대 17GW 수준까지 단계적으로 확대할 계획입니다. (독일 최고 높이 풍력터빈 건설 기사는 글로벌 기술 동향 뉴스이므로 본 베트남 분석 대상에서 제외하였습니다.)</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투자 및 사업 기회 시그널 (한국 기업 관점)</w:t>
      </w:r>
    </w:p>
    <w:p>
      <w:pPr>
        <w:spacing w:after="100"/>
      </w:pPr>
      <w:r>
        <w:rPr>
          <w:rFonts w:ascii="Arial" w:cs="Arial" w:eastAsia="Arial" w:hAnsi="Arial"/>
          <w:color w:val="1A1A1A"/>
          <w:sz w:val="20"/>
          <w:szCs w:val="20"/>
        </w:rPr>
        <w:t xml:space="preserve">  베트남의 해상풍력 프로젝트 공식 승인 및 대규모 증설 목표 설정에 따라, 해상풍력 하부구조물·전력 케이블 제조, 해상 공사(EPCC) 및 운영·보수(O&amp;M) 분야에 경쟁력을 보유한 한국 기업들에게 대형 사업 수주 및 현지 에너지 시장 진출 기회가 본격화될 것으로 예상됩니다.</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리스크 또는 지연 징후 (없으면 특이사항 없음)</w:t>
      </w:r>
    </w:p>
    <w:p>
      <w:pPr>
        <w:spacing w:after="100"/>
      </w:pPr>
      <w:r>
        <w:rPr>
          <w:rFonts w:ascii="Arial" w:cs="Arial" w:eastAsia="Arial" w:hAnsi="Arial"/>
          <w:color w:val="1A1A1A"/>
          <w:sz w:val="20"/>
          <w:szCs w:val="20"/>
        </w:rPr>
        <w:t xml:space="preserve">  대규모 해상풍력 전력을 안정적으로 수송하기 위한 전력망(계통) 연계 인프라의 적기 구축 여부와 세부 인허가 규정의 명확화가 사업 추진 속도에 변수로 작용할 수 있어 지속적인 모니터링이 필요합니다.</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2건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독일은 에펠탑보다 더 높은 세계에서 가장 높은 풍력 터빈을 건설했습니다.</w:t>
            </w:r>
          </w:p>
          <w:p>
            <w:pPr>
              <w:spacing w:before="40"/>
            </w:pPr>
            <w:r>
              <w:rPr>
                <w:rFonts w:ascii="Arial" w:cs="Arial" w:eastAsia="Arial" w:hAnsi="Arial"/>
                <w:color w:val="5F5E5A"/>
                <w:sz w:val="16"/>
                <w:szCs w:val="16"/>
              </w:rPr>
              <w:t xml:space="preserve">본 기사는 베트남이 아닌 독일의 풍력발전 사업에 관한 국제 뉴스이므로, 베트남 인프라 전문 분석 대상이 아닙니다. 기사는 독일이 건설한 세계 최고 높이의 풍력터빈(에펠탑보다 높음)을 소개하고 있으며, 구체적인 베트남...</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2026-09-03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베트남은 2026년 5월 첫 해상 풍력 프로젝트를 승인했으며 2035년까지 최대 17GW를 목표로 하고 있다.</w:t>
            </w:r>
          </w:p>
          <w:p>
            <w:pPr>
              <w:spacing w:before="40"/>
            </w:pPr>
            <w:r>
              <w:rPr>
                <w:rFonts w:ascii="Arial" w:cs="Arial" w:eastAsia="Arial" w:hAnsi="Arial"/>
                <w:color w:val="5F5E5A"/>
                <w:sz w:val="16"/>
                <w:szCs w:val="16"/>
              </w:rPr>
              <w:t xml:space="preserve">①베트남 첫 해상풍력사업 ②6~17GW(2035년 목표) ③승인(2026년 5월) ④베트남 정부 ⑤2035년까지 용량 확대. 남중국해의 긴 해안선을 활용한 재생에너지 확대로 동남아 주요 해상풍력 시장 조성. VN-P...</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Facebook (UnboxFactory)</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2026-08-30</w:t>
            </w:r>
          </w:p>
        </w:tc>
      </w:tr>
    </w:tbl>
    <w:p>
      <w:pPr>
        <w:spacing w:after="160"/>
      </w:pPr>
      <w:r>
        <w:t xml:space="preserve"/>
      </w:r>
    </w:p>
    <w:p>
      <w:pPr>
        <w:pBdr>
          <w:bottom w:val="single" w:color="E65100"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[9/19]: 하노이 도시개발 마스터플랜 2045/2065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1976D2"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9</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하노이 도시개발 마스터플랜 2045/2065</w:t>
            </w:r>
          </w:p>
          <w:p>
            <w:r>
              <w:rPr>
                <w:rFonts w:ascii="Arial" w:cs="Arial" w:eastAsia="Arial" w:hAnsi="Arial"/>
                <w:color w:val="5F5E5A"/>
                <w:sz w:val="18"/>
                <w:szCs w:val="18"/>
              </w:rPr>
              <w:t xml:space="preserve">플랜 ID: VN-HAN-URBAN-2045  |  섹터: Smart City</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Decision 1668로 확정된 하노이 도시개발 마스터플랜 2045/2065는 다핵다중심 도시모델을 기반으로 인구·GRDP 목표를 상향했다. 링로드4(113km, $3.6B)가 진행 중이나, 민자(PPP) 방식 3구간은 자본조달 부진으로 완공 일정이 재조정(2027년말 전체완공)되었다.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인구 수용 목표</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16M명 (2045)</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현재 8.5M명</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링로드4 완공</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2027년말 전체 완공</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착공 진행 중이나 PPP 자본조달 약 2%로 지연</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링로드4 (Ring Road 4)</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113km, $3.6B</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pStyle w:val="Heading3"/>
        <w:spacing w:after="80" w:before="180"/>
      </w:pPr>
      <w:r>
        <w:rPr>
          <w:rFonts w:ascii="Arial" w:cs="Arial" w:eastAsia="Arial" w:hAnsi="Arial"/>
          <w:b/>
          <w:bCs/>
          <w:color w:val="0D3A6A"/>
          <w:sz w:val="22"/>
          <w:szCs w:val="22"/>
        </w:rPr>
        <w:t xml:space="preserve">[하노이 도시개발 마스터플랜 2045/2065 경영진 보고서]</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**이번 주 핵심 진행사항 (사업 추진 현황)**</w:t>
      </w:r>
    </w:p>
    <w:p>
      <w:pPr>
        <w:spacing w:after="100"/>
      </w:pPr>
      <w:r>
        <w:rPr>
          <w:rFonts w:ascii="Arial" w:cs="Arial" w:eastAsia="Arial" w:hAnsi="Arial"/>
          <w:color w:val="1A1A1A"/>
          <w:sz w:val="20"/>
          <w:szCs w:val="20"/>
        </w:rPr>
        <w:t xml:space="preserve">  베트남 정부 및 민간 주도 인프라 사업이 연휴 기간에도 공사를 지속하며 가시적인 성과를 내고 있습니다. 롱탄 공항 연결 도로(Road 25C)는 2026년 10월 운영 개시를 목표로 차질 없이 진행 중이며, Sun Group 프로젝트관리위원회가 주도하는 트란훙다오 다리 사업은 착공 8개월 만에 공정률 40%를 기록하며 속도를 내고 있습니다. 또한 베트남 정부는 통신법 개정을 통해 하노이 도시개발 마스터플랜 2045와 연계된 디지털 인프라 확충의 법적·제도적 기반을 마련했습니다.</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**투자 및 사업 기회 시그널 (한국 기업 관점)**</w:t>
      </w:r>
    </w:p>
    <w:p>
      <w:pPr>
        <w:spacing w:after="100"/>
      </w:pPr>
      <w:r>
        <w:rPr>
          <w:rFonts w:ascii="Arial" w:cs="Arial" w:eastAsia="Arial" w:hAnsi="Arial"/>
          <w:color w:val="1A1A1A"/>
          <w:sz w:val="20"/>
          <w:szCs w:val="20"/>
        </w:rPr>
        <w:t xml:space="preserve">  개정 통신법 시행으로 하노이 수도권 내 디지털 인프라 구축이 본격 추진됨에 따라, 5G·데이터센터·스마트시티 솔루션 분야를 보유한 한국 IT 및 통신 기업의 참여 기회가 확대될 것으로 기대됩니다. 아울러 공항 연결 도로 및 교량 등 주요 교통 인프라 개발이 빠르게 진행되고 있어, 지능형 교통 시스템(ITS), 연계 상업·주거지구 개발, 첨단 건설 자재 및 엔지니어링 분야에서 국내 기업의 추가 수주 및 협력 기회가 창출될 수 있습니다.</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**리스크 또는 지연 징후 (없으면 특이사항 없음)**</w:t>
      </w:r>
    </w:p>
    <w:p>
      <w:pPr>
        <w:spacing w:after="100"/>
      </w:pPr>
      <w:r>
        <w:rPr>
          <w:rFonts w:ascii="Arial" w:cs="Arial" w:eastAsia="Arial" w:hAnsi="Arial"/>
          <w:color w:val="1A1A1A"/>
          <w:sz w:val="20"/>
          <w:szCs w:val="20"/>
        </w:rPr>
        <w:t xml:space="preserve">  주요 국책 및 민간 인프라 사업들이 연휴에도 쉼 없이 공사를 진행하며 계획대로 이행되고 있어 물리적 공정 지연 리스크는 낮은 상태입니다. 다만, 개정 통신법에 기반한 디지털 인프라 사업의 경우 아직 구체적인 예산 규모와 세부 사업 계획이 확정되지 않았으므로, 베트남 통신부의 하위 시행령 제정 및 세부 사업 발주 동향에 대한 선제적 모니터링이 요구됩니다.</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1건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2건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Long Thanh 공항을 연결하는 Road 25C, 2026년 10월 운영 시작</w:t>
            </w:r>
          </w:p>
          <w:p>
            <w:pPr>
              <w:spacing w:before="40"/>
            </w:pPr>
            <w:r>
              <w:rPr>
                <w:rFonts w:ascii="Arial" w:cs="Arial" w:eastAsia="Arial" w:hAnsi="Arial"/>
                <w:color w:val="5F5E5A"/>
                <w:sz w:val="16"/>
                <w:szCs w:val="16"/>
              </w:rPr>
              <w:t xml:space="preserve">사업명: 롱탄 공항 연결 도로 25C / 규모: 도로 연결 인프라 / 진행단계: 착공 중 / 주요기관: 베트남 정부 / 일정: 2026년 10월 운영 개시 예정. 국경일 기간에도 공사 지속 진행 중으로 차질 없이 진...</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SGGP</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2026-10-01</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개정된 통신법은 디지털 인프라의 길을 열어줍니다.</w:t>
            </w:r>
          </w:p>
          <w:p>
            <w:pPr>
              <w:spacing w:before="40"/>
            </w:pPr>
            <w:r>
              <w:rPr>
                <w:rFonts w:ascii="Arial" w:cs="Arial" w:eastAsia="Arial" w:hAnsi="Arial"/>
                <w:color w:val="5F5E5A"/>
                <w:sz w:val="16"/>
                <w:szCs w:val="16"/>
              </w:rPr>
              <w:t xml:space="preserve">①통신법 개정을 통한 디지털 인프라 구축 ②구체적 예산/규모 미명시 ③계획/승인 단계 ④베트남 정부(통신부) ⑤디지털 인프라 확충 추진. 마스터플랜 VN-HAN-URBAN-2045와 연계하여 하노이 도시 스마트화를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The Star</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2026-09-01</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연휴 내내 공사 진행</w:t>
            </w:r>
          </w:p>
          <w:p>
            <w:pPr>
              <w:spacing w:before="40"/>
            </w:pPr>
            <w:r>
              <w:rPr>
                <w:rFonts w:ascii="Arial" w:cs="Arial" w:eastAsia="Arial" w:hAnsi="Arial"/>
                <w:color w:val="5F5E5A"/>
                <w:sz w:val="16"/>
                <w:szCs w:val="16"/>
              </w:rPr>
              <w:t xml:space="preserve">① 트란훙다오 다리 프로젝트 ② 28개 건설 현장, 700명 인력, 120대 이상 장비 투입 ③ 착공 중(8개월 경과, 40% 진행률) ④ Sun Group 산하 프로젝트관리위원회 발주 ⓹ 12월 31일 TC3-TC...</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nhandan_vn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2026-09-01</w:t>
            </w:r>
          </w:p>
        </w:tc>
      </w:tr>
    </w:tbl>
    <w:p>
      <w:pPr>
        <w:spacing w:after="160"/>
      </w:pPr>
      <w:r>
        <w:t xml:space="preserve"/>
      </w:r>
    </w:p>
    <w:p>
      <w:pPr>
        <w:pBdr>
          <w:bottom w:val="single" w:color="1976D2"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[10/19]: 북부 산업단지 개발계획 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6A1B9A"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10</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북부 산업단지 개발계획 2030</w:t>
            </w:r>
          </w:p>
          <w:p>
            <w:r>
              <w:rPr>
                <w:rFonts w:ascii="Arial" w:cs="Arial" w:eastAsia="Arial" w:hAnsi="Arial"/>
                <w:color w:val="5F5E5A"/>
                <w:sz w:val="18"/>
                <w:szCs w:val="18"/>
              </w:rPr>
              <w:t xml:space="preserve">플랜 ID: VN-IP-NORTH-2030  |  섹터: Industrial Parks</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북부 산업단지 클러스터는 글로벌 전자·반도체 공급망의 핵심 기지다. 삼성, LG, 인텔 등 첨단 외자 제조업이 다수 입주해 있다.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VSIP 단지 수</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25개 이상</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19개 운영</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VSIP 박닌</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700 ha</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박닌성</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삼성 박닌 반도체·전자 클러스터</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누적투자 약 $232억</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박닌성</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수집된 기사를 바탕으로 작성한 경영진 보고용 시장정보(MI) 인사이트 보고서입니다.</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**이번 주 핵심 진행사항 (사업 추진 현황):** 베트남 정부는 2026년 상반기 외국인직접투자(FDI) 유치액이 전년 동기 대비 58% 증가한 380.6억 달러를 기록함에 따라 북부 산업단지를 중심으로 전략적 인프라 투자를 가속화하고 있으며, 하노이시의 장기 FDI 유치 전략 수립과 호치민시 산업단지의 연간 목표 조기 달성 등 전국적인 산업 인프라 확장 및 투자가 본격화되고 있습니다.</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**투자 및 사업 기회 시그널 (한국 기업 관점):** 삼성베트남이 상반기 23억 달러의 수익을 달성하며 현지 생태계의 높은 수익성과 안정성을 입증한 가운데, 베트남 정부의 북부 산업단지 인프라 집중 투자 기조에 맞춰 한국 EPC 기업, 스마트 팩토리 솔루션 공급업체 및 제조 협력사들의 북부 지역 진출 및 사업 확대 기회가 더욱 늘어날 것으로 전망됩니다.</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**리스크 또는 지연 징후 (없으면 특이사항 없음):** 수집된 기사 내 사업 중단이나 차질에 대한 직접적인 특이사항은 없으나, 북부 산업단지 인프라 구축 및 하노이시 FDI 전략이 현재 '계획 단계'에 머물러 있는 만큼 향후 세부 시행계획 발표 및 토지 확보 등 구체적인 추진 일정에 대한 지속적인 모니터링이 필요합니다.</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2건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2건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하노이는 FDI 유입에 대한 매력을 유지하기 위해 노력합니다.</w:t>
            </w:r>
          </w:p>
          <w:p>
            <w:pPr>
              <w:spacing w:before="40"/>
            </w:pPr>
            <w:r>
              <w:rPr>
                <w:rFonts w:ascii="Arial" w:cs="Arial" w:eastAsia="Arial" w:hAnsi="Arial"/>
                <w:color w:val="5F5E5A"/>
                <w:sz w:val="16"/>
                <w:szCs w:val="16"/>
              </w:rPr>
              <w:t xml:space="preserve">하노이의 외국인직접투자(FDI) 유치 전략. ② 사업규모: 명시되지 않음 ③ 현재 진행단계: 계획 ④ 주요 기관: 하노이 시정부, 이스라엘 경제산업부 등 ⑤ 핵심 일정: 향후 10년 기술 현지화 및 상용화 추진. 이...</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2026-09-04</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베트남, 2026년까지 산업 성장을 지원하기 위해 전략적 인프라 투자 가속화</w:t>
            </w:r>
          </w:p>
          <w:p>
            <w:pPr>
              <w:spacing w:before="40"/>
            </w:pPr>
            <w:r>
              <w:rPr>
                <w:rFonts w:ascii="Arial" w:cs="Arial" w:eastAsia="Arial" w:hAnsi="Arial"/>
                <w:color w:val="5F5E5A"/>
                <w:sz w:val="16"/>
                <w:szCs w:val="16"/>
              </w:rPr>
              <w:t xml:space="preserve">①베트남 북부산업단지 전략적 인프라 투자 ②2026년 상반기 FDI 380.6억 달러 유치(전년비 58% 증가) ③계획 단계 ④베트남 재정부, 통계청, 정치국 ⑤2026년 6월 정치국결의 10호에 따른 투자유인체계 ...</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VnEconomy, Savills, YouTube</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2026-08-30</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삼성베트남, 상반기 23억 달러 수익 기록</w:t>
            </w:r>
          </w:p>
          <w:p>
            <w:pPr>
              <w:spacing w:before="40"/>
            </w:pPr>
            <w:r>
              <w:rPr>
                <w:rFonts w:ascii="Arial" w:cs="Arial" w:eastAsia="Arial" w:hAnsi="Arial"/>
                <w:color w:val="5F5E5A"/>
                <w:sz w:val="16"/>
                <w:szCs w:val="16"/>
              </w:rPr>
              <w:t xml:space="preserve">&lt;a href="https://e.vnexpress.net/news/business/companies/samsung-vietnam-reports-2-3b-profit-in-h1-5116042.html"&gt;&lt;img sr...</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VnExpress Business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2026-09-04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호치민시 산업단지, 8월 중순까지 2026년 FDI 목표 초과 달성</w:t>
            </w:r>
          </w:p>
          <w:p>
            <w:pPr>
              <w:spacing w:before="40"/>
            </w:pPr>
            <w:r>
              <w:rPr>
                <w:rFonts w:ascii="Arial" w:cs="Arial" w:eastAsia="Arial" w:hAnsi="Arial"/>
                <w:color w:val="5F5E5A"/>
                <w:sz w:val="16"/>
                <w:szCs w:val="16"/>
              </w:rPr>
              <w:t xml:space="preserve">호치민시 산업단지의 2026년 FDI 유치목표 조기달성. 사업규모: 2026년 목표액 초과달성(구체적 금액 미명시). 진행단계: 운영 중. 주요기관: 호치민시 산업단지 관리당국. 핵심일정: 8월 중순까지 연간목표 달...</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 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2026-08-26</w:t>
            </w:r>
          </w:p>
        </w:tc>
      </w:tr>
    </w:tbl>
    <w:p>
      <w:pPr>
        <w:spacing w:after="160"/>
      </w:pPr>
      <w:r>
        <w:t xml:space="preserve"/>
      </w:r>
    </w:p>
    <w:p>
      <w:pPr>
        <w:pBdr>
          <w:bottom w:val="single" w:color="6A1B9A"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[11/19]: 국가 교통인프라 마스터플랜 2021~2030, Vision 2050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795548"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11</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국가 교통인프라 마스터플랜 2021~2030, Vision 2050</w:t>
            </w:r>
          </w:p>
          <w:p>
            <w:r>
              <w:rPr>
                <w:rFonts w:ascii="Arial" w:cs="Arial" w:eastAsia="Arial" w:hAnsi="Arial"/>
                <w:color w:val="5F5E5A"/>
                <w:sz w:val="18"/>
                <w:szCs w:val="18"/>
              </w:rPr>
              <w:t xml:space="preserve">플랜 ID: VN-TRAN-2055  |  섹터: Transport</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교통인프라 마스터플랜은 2030년 고속도로 5,000km 완성을 목표로 한다. 롱탄 국제공항의 상업개항 목표가 당초 2026.6월에서 2026.12월로 공식 연기됐다. 호치민 링로드3 역시 2028년 전체완공으로 목표가 순연 제안됐다.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고속도로 총연장</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5,000 km</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1,892 km (2025 실적)</w:t>
            </w:r>
          </w:p>
        </w:tc>
      </w:tr>
      <w:tr>
        <w:tc>
          <w:tcPr>
            <w:tcW w:type="dxa" w:w="36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롱탄공항 개항</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25M PAX/년 (1단계)</w:t>
            </w:r>
          </w:p>
        </w:tc>
        <w:tc>
          <w:tcPr>
            <w:tcW w:type="dxa" w:w="12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2026.12월 상업개항으로 공식 연기</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롱탄 국제공항</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25M PAX (1단계)</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동나이성</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링로드3</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전체 76km</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광역</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이번 주 핵심 진행사항 (사업 추진 현황): 베트남 정부가 롱탄 신공항 연계성 강화를 위해 호치민 지하철 1호선(벤탄-수오이띠엔)의 44.5km 연장 프로젝트를 긴급 승인하고 투티엠-롱탄 철도(46.5km)의 2026년 착공을 확정하였으며, 푸바이 공항의 2050년 단계적 확장 마스터플랜 추진 및 안장성 APEC 대비 전력 인프라 3개 사업 완료 등 주요 교통·에너지 인프라 사업이 순조롭게 추진되고 있습니다.</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투자 및 사업 기회 시그널 (한국 기업 관점): 롱탄 신공항 중심의 철도 및 지하철 연장 사업이 본격화됨에 따라 철도 차량 supply, 신호·통신 시스템, E&amp;M 엔지니어링 등 국내 철도 인프라 전문 기업의 수주 기회가 크게 확대되고 있으며, 안장성 전력망 확충과 베트남-러시아 협력을 통한 에너지·원전 분야 재가동 움직임에 맞춰 전력 기기 및 에너지 EPC 분야의 시장 참여 시그널을 주시할 필요가 있습니다.</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리스크 또는 지연 징후 (없으면 특이사항 없음): 특이사항 없음</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9건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27건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푸바이 공항은 2050년까지 연간 승객 1,200만 명을 목표로 하고 있습니다.</w:t>
            </w:r>
          </w:p>
          <w:p>
            <w:pPr>
              <w:spacing w:before="40"/>
            </w:pPr>
            <w:r>
              <w:rPr>
                <w:rFonts w:ascii="Arial" w:cs="Arial" w:eastAsia="Arial" w:hAnsi="Arial"/>
                <w:color w:val="5F5E5A"/>
                <w:sz w:val="16"/>
                <w:szCs w:val="16"/>
              </w:rPr>
              <w:t xml:space="preserve">①퓨바이공항 2050년 목표 ②연 1,200만 승객 수용 ③계획 단계 ④베트남 교통부·퓨바이공항 운영사 ⑤2050년까지 단계적 확장. 관련 마스터플랜: VN-TRAN-2055</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2026-09-05</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베트남이 승인한 롱탄 공항으로의 긴급 지하철 1호선 확장</w:t>
            </w:r>
          </w:p>
          <w:p>
            <w:pPr>
              <w:spacing w:before="40"/>
            </w:pPr>
            <w:r>
              <w:rPr>
                <w:rFonts w:ascii="Arial" w:cs="Arial" w:eastAsia="Arial" w:hAnsi="Arial"/>
                <w:color w:val="5F5E5A"/>
                <w:sz w:val="16"/>
                <w:szCs w:val="16"/>
              </w:rPr>
              <w:t xml:space="preserve">베트남 정부는 벤탄-수오이띠엔 지하철 노선(지하철 1호선)을 동나이성과 롱탄 국제공항까지 연장하는 긴급 프로젝트를 승인했다. 이 연장선은 약 44.5km에 달하며, 최고 시속 120km로 설계되었다. 수오이띠엔 역에...</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TravelMole, Saigoneer, Tuoi Tre News</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2026-08-28</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Ben Thanh-Suoi Tien 지하철 노선을 Long Thanh 공항까지 연장 2026년 8월 승인</w:t>
            </w:r>
          </w:p>
          <w:p>
            <w:pPr>
              <w:spacing w:before="40"/>
            </w:pPr>
            <w:r>
              <w:rPr>
                <w:rFonts w:ascii="Arial" w:cs="Arial" w:eastAsia="Arial" w:hAnsi="Arial"/>
                <w:color w:val="5F5E5A"/>
                <w:sz w:val="16"/>
                <w:szCs w:val="16"/>
              </w:rPr>
              <w:t xml:space="preserve">① Ben Thanh-Suoi Tien 지하철 연장선(롱탄 공항) ② 규모 미상 ③ 승인(2026년 8월) ④ 베트남 정부 ⑤ 2026년 8월 승인 완료, 롱탄 신공항 접근성 향상 목표</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TravelMole</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2026-08-27</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투티엠(Thu Thiem) – 롱탄(Long Thanh) 철도, 2026년 착공, 호치민시와 공항 연결</w:t>
            </w:r>
          </w:p>
          <w:p>
            <w:pPr>
              <w:spacing w:before="40"/>
            </w:pPr>
            <w:r>
              <w:rPr>
                <w:rFonts w:ascii="Arial" w:cs="Arial" w:eastAsia="Arial" w:hAnsi="Arial"/>
                <w:color w:val="5F5E5A"/>
                <w:sz w:val="16"/>
                <w:szCs w:val="16"/>
              </w:rPr>
              <w:t xml:space="preserve">호찌민시 투 티엠과 롱 탄 공항을 연결하는 46.5km 길이의 철도 프로젝트. 18개 역(호찌민시 내 6개)을 갖추고 최대 시속 120km, 시간당 47,000명 수송 능력. GoA4 자동화 기술 적용으로 무인 운영...</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Future Southeast Asia, The Star</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2026-09-02</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러시아 주재 베트남 대사, 양국 관계의 새로운 이정표를 믿습니다</w:t>
            </w:r>
          </w:p>
          <w:p>
            <w:pPr>
              <w:spacing w:before="40"/>
            </w:pPr>
            <w:r>
              <w:rPr>
                <w:rFonts w:ascii="Arial" w:cs="Arial" w:eastAsia="Arial" w:hAnsi="Arial"/>
                <w:color w:val="5F5E5A"/>
                <w:sz w:val="16"/>
                <w:szCs w:val="16"/>
              </w:rPr>
              <w:t xml:space="preserve">베트남-러시아 정상 방문을 통한 포괄적 전략동반자 관계 강화. ① 베트남-러시아 양자관계 협력 ② 핵발전소 건설, 석유·가스 협력 등 에너지 분야 협력 ③ 계획 단계 ④ 베트남 최고지도부, 러시아 푸틴 대통령 ⑤ 방...</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nhandan_vn</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2026-09-04</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베트남-러시아 협력, 새로운 추진력으로 새로운 시대 진입</w:t>
            </w:r>
          </w:p>
          <w:p>
            <w:pPr>
              <w:spacing w:before="40"/>
            </w:pPr>
            <w:r>
              <w:rPr>
                <w:rFonts w:ascii="Arial" w:cs="Arial" w:eastAsia="Arial" w:hAnsi="Arial"/>
                <w:color w:val="5F5E5A"/>
                <w:sz w:val="16"/>
                <w:szCs w:val="16"/>
              </w:rPr>
              <w:t xml:space="preserve">당 민 코이(Dang Minh Khoi) 러시아 주재 베트남 대사는 다가오는 9월 7일부터 9일까지 베트남 공산당 중앙위원회 서기장과 토 람(To Lam) 주석의 러시아 국빈 방문이 양국의 포괄적 전략을 향상시키는 ...</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2026-09-04</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러시아 주재 베트남 대사, 양국 관계의 새로운 이정표를 믿습니다</w:t>
            </w:r>
          </w:p>
          <w:p>
            <w:pPr>
              <w:spacing w:before="40"/>
            </w:pPr>
            <w:r>
              <w:rPr>
                <w:rFonts w:ascii="Arial" w:cs="Arial" w:eastAsia="Arial" w:hAnsi="Arial"/>
                <w:color w:val="5F5E5A"/>
                <w:sz w:val="16"/>
                <w:szCs w:val="16"/>
              </w:rPr>
              <w:t xml:space="preserve">베트남 총서기이자 대통령인 토 람이 9월 7-9일 러시아를 방문한다. 이는 베트남 지도자의 역대 첫 국방문으로, 양국 간 포괄적 전략적 동반자 관계를 새로운 단계로 끌어올릴 것으로 예상된다.</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vietnamnews_vn</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2026-09-04</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An Giang, APEC 2027을 위한 세 가지 주요 전력 프로젝트 완료</w:t>
            </w:r>
          </w:p>
          <w:p>
            <w:pPr>
              <w:spacing w:before="40"/>
            </w:pPr>
            <w:r>
              <w:rPr>
                <w:rFonts w:ascii="Arial" w:cs="Arial" w:eastAsia="Arial" w:hAnsi="Arial"/>
                <w:color w:val="5F5E5A"/>
                <w:sz w:val="16"/>
                <w:szCs w:val="16"/>
              </w:rPr>
              <w:t xml:space="preserve">안강성이 2027 APEC 개최를 위해 3개 주요 전력 프로젝트를 완료했습니다. 이 프로젝트들은 지역 전력 인프라 강화와 에너지 공급 안정성 제고를 목표로 합니다.</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2026-09-04</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롱탄 국제공항, 2026년 말까지 상업 운영 개시</w:t>
            </w:r>
          </w:p>
          <w:p>
            <w:pPr>
              <w:spacing w:before="40"/>
            </w:pPr>
            <w:r>
              <w:rPr>
                <w:rFonts w:ascii="Arial" w:cs="Arial" w:eastAsia="Arial" w:hAnsi="Arial"/>
                <w:color w:val="5F5E5A"/>
                <w:sz w:val="16"/>
                <w:szCs w:val="16"/>
              </w:rPr>
              <w:t xml:space="preserve">롱탄 국제공항은 호치민시 동나이성에 위치한 베트남 정부 소유의 공항이다. 2025년 12월 기술적 개통을 앞두고 있으며, 호치민시 대도시권을 담당하는 국제공항으로 베트남 공항공사가 운영한다.</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Wikipedia, VGP, TravelMole, Tuoi tre news</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2026-12-01</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2026년 말까지 남북 고속철도 건설 시작 목표</w:t>
            </w:r>
          </w:p>
          <w:p>
            <w:pPr>
              <w:spacing w:before="40"/>
            </w:pPr>
            <w:r>
              <w:rPr>
                <w:rFonts w:ascii="Arial" w:cs="Arial" w:eastAsia="Arial" w:hAnsi="Arial"/>
                <w:color w:val="5F5E5A"/>
                <w:sz w:val="16"/>
                <w:szCs w:val="16"/>
              </w:rPr>
              <w:t xml:space="preserve">① 남북 고속철도 ② 총사업비 670억 달러, 연장 1,541km ③ 착공 (2026년 12월 31일 착공 예정) ④ 베트남 정부, 중국·일본·한국 기술협력 ⑤ 2026년 12월 31일 착공, 2035년 완공 목표</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Facebook, Freshfields, AHK Vietnam</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2026-09-04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기업, 더 높은 가치의 글로벌 공급망 역할 주목</w:t>
            </w:r>
          </w:p>
          <w:p>
            <w:pPr>
              <w:spacing w:before="40"/>
            </w:pPr>
            <w:r>
              <w:rPr>
                <w:rFonts w:ascii="Arial" w:cs="Arial" w:eastAsia="Arial" w:hAnsi="Arial"/>
                <w:color w:val="5F5E5A"/>
                <w:sz w:val="16"/>
                <w:szCs w:val="16"/>
              </w:rPr>
              <w:t xml:space="preserve">①베트남 글로벌 공급망 고부가가치화 ②수출액 4,760억 달러(2025년) ③계획단계 ④베트남 정부, 식품협회 등 ⑤고부가가치 단계로의 전환 추진. 베트남은 수출 규모는 크나 부가가치 비중 낮음(해외부가가치 48%)...</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2026-09-04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글로벌, 지역 반도체 가치 사슬로 더 깊이 진출</w:t>
            </w:r>
          </w:p>
          <w:p>
            <w:pPr>
              <w:spacing w:before="40"/>
            </w:pPr>
            <w:r>
              <w:rPr>
                <w:rFonts w:ascii="Arial" w:cs="Arial" w:eastAsia="Arial" w:hAnsi="Arial"/>
                <w:color w:val="5F5E5A"/>
                <w:sz w:val="16"/>
                <w:szCs w:val="16"/>
              </w:rPr>
              <w:t xml:space="preserve">①베트남 반도체 산업 글로벌 가치사슬 진출 ②2025년 210억 달러 수익, 140억 달러 외국인투자 ③계획 단계 ④과학기술부, 베트남국립대학교, 240개 이상 프로젝트 ⑤칩 설계-검증-생산 인프라 구축 추진 중</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2026-09-04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경제외교 촉진하고 미국과 더 깊은 협력 모색</w:t>
            </w:r>
          </w:p>
          <w:p>
            <w:pPr>
              <w:spacing w:before="40"/>
            </w:pPr>
            <w:r>
              <w:rPr>
                <w:rFonts w:ascii="Arial" w:cs="Arial" w:eastAsia="Arial" w:hAnsi="Arial"/>
                <w:color w:val="5F5E5A"/>
                <w:sz w:val="16"/>
                <w:szCs w:val="16"/>
              </w:rPr>
              <w:t xml:space="preserve">사업명: 베트남-미국 경제외교 및 협력 강화 | 규모: 양자협력 강화 (구체적 예산 미명시) | 진행단계: 계획 | 주요기관: 베트남 정부(PM 레민흥), 외교부 | 일정: 2026년 9월 6-11일 외교차관 공식방...</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2026-09-04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글로벌, 지역 반도체 가치사슬로 더 깊이 진출</w:t>
            </w:r>
          </w:p>
          <w:p>
            <w:pPr>
              <w:spacing w:before="40"/>
            </w:pPr>
            <w:r>
              <w:rPr>
                <w:rFonts w:ascii="Arial" w:cs="Arial" w:eastAsia="Arial" w:hAnsi="Arial"/>
                <w:color w:val="5F5E5A"/>
                <w:sz w:val="16"/>
                <w:szCs w:val="16"/>
              </w:rPr>
              <w:t xml:space="preserve">① 베트남 반도체 칩 프로토타이핑 국가센터 ② 2025년 산업 매출 21억 달러, 외국인투자 140억 달러(240개+ 사업) ③ 운영 중(2026년 6월 26일 개소) ④ 과학기술부(MST), AITI, 베트남국립대...</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vietnamnews_vn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2026-09-04</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롱탄공항까지 벤탄-쑤오이티엔 지하철 노선 긴급 연장 승인</w:t>
            </w:r>
          </w:p>
          <w:p>
            <w:pPr>
              <w:spacing w:before="40"/>
            </w:pPr>
            <w:r>
              <w:rPr>
                <w:rFonts w:ascii="Arial" w:cs="Arial" w:eastAsia="Arial" w:hAnsi="Arial"/>
                <w:color w:val="5F5E5A"/>
                <w:sz w:val="16"/>
                <w:szCs w:val="16"/>
              </w:rPr>
              <w:t xml:space="preserve">① 벤탄-수이띈 메트로선 롱탄공항 연장 사업
② 호찌민시~동나이성~롱탄국제공항 연결(구체적 연장거리 미기재)
③ 승인 단계
④ 베트남 정부(발주처), 교통부
⑤ 긴급 착공 추진(2026년 8월 승인)</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DTiNews - Dân trí</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2026-08-27</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Lien Khuong 국제공항, 재개장 후 첫 국제선 비행 환영</w:t>
            </w:r>
          </w:p>
          <w:p>
            <w:pPr>
              <w:spacing w:before="40"/>
            </w:pPr>
            <w:r>
              <w:rPr>
                <w:rFonts w:ascii="Arial" w:cs="Arial" w:eastAsia="Arial" w:hAnsi="Arial"/>
                <w:color w:val="5F5E5A"/>
                <w:sz w:val="16"/>
                <w:szCs w:val="16"/>
              </w:rPr>
              <w:t xml:space="preserve">①리엔쿠옹국제공항 재개항 후 첫 국제선 운항 ②구체적 규모 미기재 ③운영중(재개항 완료) ④베트남 정부 항공청·공항운영사 ⑤2026년 9월 첫 국제선 운항 개시로 국제선 정상화 진행</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2026-09-02</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ASEAN-러시아 협력을 위한 5가지 우선순위 제안</w:t>
            </w:r>
          </w:p>
          <w:p>
            <w:pPr>
              <w:spacing w:before="40"/>
            </w:pPr>
            <w:r>
              <w:rPr>
                <w:rFonts w:ascii="Arial" w:cs="Arial" w:eastAsia="Arial" w:hAnsi="Arial"/>
                <w:color w:val="5F5E5A"/>
                <w:sz w:val="16"/>
                <w:szCs w:val="16"/>
              </w:rPr>
              <w:t xml:space="preserve">사업명: ASEAN-러시아 종합협력행동계획(2026-2030)
규모: 러-ASEAN 교역액 21억 달러(2025년)
단계: 계획 수립 완료
기관: ASEAN-러시아 정상회담(카잔), 베트남 재무부
일정: 2026-2...</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nhandan_vn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2026-09-02</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국경일 휴가로 주요 허브 전역에서 관광 수익 창출</w:t>
            </w:r>
          </w:p>
          <w:p>
            <w:pPr>
              <w:spacing w:before="40"/>
            </w:pPr>
            <w:r>
              <w:rPr>
                <w:rFonts w:ascii="Arial" w:cs="Arial" w:eastAsia="Arial" w:hAnsi="Arial"/>
                <w:color w:val="5F5E5A"/>
                <w:sz w:val="16"/>
                <w:szCs w:val="16"/>
              </w:rPr>
              <w:t xml:space="preserve">①베트남 국경절 연휴 관광 성과 ②호치민시 165만 국내·6.2만 해외 관광객 유치, 49억 동 수익; 광닝성 56.8만 명·1.8조 동 수익 ③운영 중 ④호치민시·광닝성 관광청 ⑤2026년 광닝성 2,250만 명·...</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2026-09-03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사진 속: 국경일에 불꽃놀이가 하노이와 호치민시를 눈부시게 합니다.</w:t>
            </w:r>
          </w:p>
          <w:p>
            <w:pPr>
              <w:spacing w:before="40"/>
            </w:pPr>
            <w:r>
              <w:rPr>
                <w:rFonts w:ascii="Arial" w:cs="Arial" w:eastAsia="Arial" w:hAnsi="Arial"/>
                <w:color w:val="5F5E5A"/>
                <w:sz w:val="16"/>
                <w:szCs w:val="16"/>
              </w:rPr>
              <w:t xml:space="preserve">본 기사는 베트남 국경일 기념 불꽃놀이 행사에 관한 보도 기사로, 인프라 사업과 무관한 문화행사입니다. 요약 대상 기사가 아니며, 제시된 마스터플랜 ID(VN-TRAN-2055)와도 연관성이 없습니다. 인프라 사업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nhandan_vn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2026-09-03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"Surfing Green Smoke"는 호치민시 젊은이들에게 녹색 교통수단을 더 가까이 제공합니다.</w:t>
            </w:r>
          </w:p>
          <w:p>
            <w:pPr>
              <w:spacing w:before="40"/>
            </w:pPr>
            <w:r>
              <w:rPr>
                <w:rFonts w:ascii="Arial" w:cs="Arial" w:eastAsia="Arial" w:hAnsi="Arial"/>
                <w:color w:val="5F5E5A"/>
                <w:sz w:val="16"/>
                <w:szCs w:val="16"/>
              </w:rPr>
              <w:t xml:space="preserve">사업명: '녹연기 타기(Surfing Green Smoke)' 녹색교통 캠페인, 사업규모: 호치민시 청년층 대상 홍보사업, 진행단계: 운영 중, 주요기관: 호치민시 환경단체/미디어, 목표: 청년층에게 친환경 교통 인...</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2026-09-03</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롱탄(Long Thanh) 국제공항 도로 접근 및 순환도로 3 완성</w:t>
            </w:r>
          </w:p>
          <w:p>
            <w:pPr>
              <w:spacing w:before="40"/>
            </w:pPr>
            <w:r>
              <w:rPr>
                <w:rFonts w:ascii="Arial" w:cs="Arial" w:eastAsia="Arial" w:hAnsi="Arial"/>
                <w:color w:val="5F5E5A"/>
                <w:sz w:val="16"/>
                <w:szCs w:val="16"/>
              </w:rPr>
              <w:t xml:space="preserve">①롱탄 국제공항 도로접근성 및 링로드3 ②터미널1 기준 규모 미명시, 호치민시 대도시권 서빙 ③준공(기술개통 2025년12월, 상업운영 2026년12월 예정) ④베트남정부/베트남공항공사 ⑤2026년12월 상업운영 개...</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Wikipedia</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2026-12-01</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 2026~2030년 전략적 인프라 투자 가속화</w:t>
            </w:r>
          </w:p>
          <w:p>
            <w:pPr>
              <w:spacing w:before="40"/>
            </w:pPr>
            <w:r>
              <w:rPr>
                <w:rFonts w:ascii="Arial" w:cs="Arial" w:eastAsia="Arial" w:hAnsi="Arial"/>
                <w:color w:val="5F5E5A"/>
                <w:sz w:val="16"/>
                <w:szCs w:val="16"/>
              </w:rPr>
              <w:t xml:space="preserve">① 2026-2030 전략적 인프라 투자 추진 ② 자이빈 국제공항 196.38조 VND(75.3억 USD), 철도 4개 사업 445.1조 VND(170억 USD) ③ 계획 단계 ④ 건설부, 민간-국제 투자자 ⑤ 아펙...</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Industry Report</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2026-09-01</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2026~2030년 개발 기간 동안 베트남에서 상당한 인프라 투자가 진행 중</w:t>
            </w:r>
          </w:p>
          <w:p>
            <w:pPr>
              <w:spacing w:before="40"/>
            </w:pPr>
            <w:r>
              <w:rPr>
                <w:rFonts w:ascii="Arial" w:cs="Arial" w:eastAsia="Arial" w:hAnsi="Arial"/>
                <w:color w:val="5F5E5A"/>
                <w:sz w:val="16"/>
                <w:szCs w:val="16"/>
              </w:rPr>
              <w:t xml:space="preserve">① 베트남 2026-2030년 기간 전략적 인프라 투자 계획
② 기아빈국제공항 196.38조 VND(75.3억 달러), 철도 4개 프로젝트 445.1조 VND(170억 달러)
③ 계획 및 승인 단계
④ 베트남 건설부...</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Vertex AI Search</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2026-09-01</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호치민시는 사상 최대 규모의 인프라 투자 기간을 맞이하고 있습니다.</w:t>
            </w:r>
          </w:p>
          <w:p>
            <w:pPr>
              <w:spacing w:before="40"/>
            </w:pPr>
            <w:r>
              <w:rPr>
                <w:rFonts w:ascii="Arial" w:cs="Arial" w:eastAsia="Arial" w:hAnsi="Arial"/>
                <w:color w:val="5F5E5A"/>
                <w:sz w:val="16"/>
                <w:szCs w:val="16"/>
              </w:rPr>
              <w:t xml:space="preserve">호찌민시 대규모 인프라 투자 프로젝트群(VN-TRAN-2055): 총 181,000억 동 이상 규모로 메트로, 교량, 도시정비 사업 추진 중. 9개 핵심 공사 중 투자액 134,000억 동의 Thủ Thiêm-Lon...</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cafef</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2026-09-01</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롱탄 공항과 연결되는 10차선 도로에서 공사 가속화</w:t>
            </w:r>
          </w:p>
          <w:p>
            <w:pPr>
              <w:spacing w:before="40"/>
            </w:pPr>
            <w:r>
              <w:rPr>
                <w:rFonts w:ascii="Arial" w:cs="Arial" w:eastAsia="Arial" w:hAnsi="Arial"/>
                <w:color w:val="5F5E5A"/>
                <w:sz w:val="16"/>
                <w:szCs w:val="16"/>
              </w:rPr>
              <w:t xml:space="preserve">【롱탄공항 연결 10차선 도로】 베트남 교통부가 발주, 현재 착공 단계. 총 연장거리 미상, 예산규모 미기재. 2026년 9월 기준 공사 가속화 중. 롱탄국제공항 접근성 향상을 위한 전략 인프라로, VN-TRAN-2...</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2026-09-01</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베트남은 성장하는 자본을 양질의 투자 준비 프로젝트로 전환하려고 합니다.</w:t>
            </w:r>
          </w:p>
          <w:p>
            <w:pPr>
              <w:spacing w:before="40"/>
            </w:pPr>
            <w:r>
              <w:rPr>
                <w:rFonts w:ascii="Arial" w:cs="Arial" w:eastAsia="Arial" w:hAnsi="Arial"/>
                <w:color w:val="5F5E5A"/>
                <w:sz w:val="16"/>
                <w:szCs w:val="16"/>
              </w:rPr>
              <w:t xml:space="preserve">①베트남 2026-2030 인프라 개발 ②지아빈 국제공항 196.38조 VND, 철도 4개 사업 445.1조 VND 투자 ③계획 단계 ④베트남 정부, 건설부 ⑤APEC 2027 시설 완공, 2030년 공항 연 3,0...</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2026-09-01</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ACV 회장, 휴가 기간 동안 Long Thanh 공항 건설 현장 점검</w:t>
            </w:r>
          </w:p>
          <w:p>
            <w:pPr>
              <w:spacing w:before="40"/>
            </w:pPr>
            <w:r>
              <w:rPr>
                <w:rFonts w:ascii="Arial" w:cs="Arial" w:eastAsia="Arial" w:hAnsi="Arial"/>
                <w:color w:val="5F5E5A"/>
                <w:sz w:val="16"/>
                <w:szCs w:val="16"/>
              </w:rPr>
              <w:t xml:space="preserve">롱탄 국제공항 건설 사업. 베트남공항공사(ACV) 회장이 휴일 중 공사 현장을 점검했으며, 2026년 9월 현재 건설 진행 중. 발주처는 베트남공항공사이고 베트남 교통인프라 마스터플랜(VN-TRAN-2055)에 포함...</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sggp_org_vn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2026-09-01</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VietnamPlas 2026이 9월 호치민에서 개최됩니다.</w:t>
            </w:r>
          </w:p>
          <w:p>
            <w:pPr>
              <w:spacing w:before="40"/>
            </w:pPr>
            <w:r>
              <w:rPr>
                <w:rFonts w:ascii="Arial" w:cs="Arial" w:eastAsia="Arial" w:hAnsi="Arial"/>
                <w:color w:val="5F5E5A"/>
                <w:sz w:val="16"/>
                <w:szCs w:val="16"/>
              </w:rPr>
              <w:t xml:space="preserve">①VietnamPlas 2026(제24회 베트남 국제 플라스틱·고무산업전시회) ②22,000㎡ 규모, 650개 전시업체, 15개국 이상 참여 ③계획 ④주최: Vinexad National Trade Fair and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vir_vn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2026-09-01</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투티엠-롱탄 도시철도 건설 2026년 9월 착공</w:t>
            </w:r>
          </w:p>
          <w:p>
            <w:pPr>
              <w:spacing w:before="40"/>
            </w:pPr>
            <w:r>
              <w:rPr>
                <w:rFonts w:ascii="Arial" w:cs="Arial" w:eastAsia="Arial" w:hAnsi="Arial"/>
                <w:color w:val="5F5E5A"/>
                <w:sz w:val="16"/>
                <w:szCs w:val="16"/>
              </w:rPr>
              <w:t xml:space="preserve">기사 내용을 확인할 수 없습니다. 제공된 URL이 404 오류로 접근 불가능하여 Thu Thiem-Long Thanh 도시철도 사업에 대한 구체적 정보(사업규모, 진행단계, 주요 기관, 일정 등)를 분석할 수 없습니...</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Tuoi Tre News, Vietcetera</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2026-09-01</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국무총리는 북부지역 고속도로 사업의 속도를 높여달라고 요청했다.</w:t>
            </w:r>
          </w:p>
          <w:p>
            <w:pPr>
              <w:spacing w:before="40"/>
            </w:pPr>
            <w:r>
              <w:rPr>
                <w:rFonts w:ascii="Arial" w:cs="Arial" w:eastAsia="Arial" w:hAnsi="Arial"/>
                <w:color w:val="5F5E5A"/>
                <w:sz w:val="16"/>
                <w:szCs w:val="16"/>
              </w:rPr>
              <w:t xml:space="preserve">①북부지역 고속도로 사업 ②구체적 규모 미제시 ③진행 중 ④베트남 정부, 총리실 ⑤공정 진도 가속화 요청. 기사에서 구체적인 사업명, 예산, 연장거리 등 세부정보 부재로 전체 요약 불가능. VN-TRAN-2055 마...</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2026-08-31</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하노이 기업, 수출 촉진을 위해 자본, 물류 병목 현상에 대한 조치 촉구</w:t>
            </w:r>
          </w:p>
          <w:p>
            <w:pPr>
              <w:spacing w:before="40"/>
            </w:pPr>
            <w:r>
              <w:rPr>
                <w:rFonts w:ascii="Arial" w:cs="Arial" w:eastAsia="Arial" w:hAnsi="Arial"/>
                <w:color w:val="5F5E5A"/>
                <w:sz w:val="16"/>
                <w:szCs w:val="16"/>
              </w:rPr>
              <w:t xml:space="preserve">하노이 수출 경쟁력 강화 정책 제안: ① 하노이 기업들의 수출 활성화 정책 건의 ② 녹색전환, 지적재산권, 추적성, 국경간 전자상거래 지원 프로그램 및 수출업체 신용 패키지 ③ 정책 건의 단계 ④ 하노이 기업협회(H...</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2026-08-31</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 순환도로 3호 2026년 완공 예정</w:t>
            </w:r>
          </w:p>
          <w:p>
            <w:pPr>
              <w:spacing w:before="40"/>
            </w:pPr>
            <w:r>
              <w:rPr>
                <w:rFonts w:ascii="Arial" w:cs="Arial" w:eastAsia="Arial" w:hAnsi="Arial"/>
                <w:color w:val="5F5E5A"/>
                <w:sz w:val="16"/>
                <w:szCs w:val="16"/>
              </w:rPr>
              <w:t xml:space="preserve">제공된 기사 전문에는 호치민시 3호 환상도로 건설 관련 구체적 정보가 없습니다. 기사는 하노이 국회 상임위 회의, 하이퐁 고양이비 공항 드론 감지, 지아라이 홍수 등 무관한 뉘스만 포함되어 있습니다. 제목과 기사 내...</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 English Edition, Wikipedia</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2026-08-29</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Long Thanh 공항을 51번 국도 및 순환도로 3과 연결하는 25C 도로</w:t>
            </w:r>
          </w:p>
          <w:p>
            <w:pPr>
              <w:spacing w:before="40"/>
            </w:pPr>
            <w:r>
              <w:rPr>
                <w:rFonts w:ascii="Arial" w:cs="Arial" w:eastAsia="Arial" w:hAnsi="Arial"/>
                <w:color w:val="5F5E5A"/>
                <w:sz w:val="16"/>
                <w:szCs w:val="16"/>
              </w:rPr>
              <w:t xml:space="preserve">롱탄 공항 연결도로 25C 프로젝트(VN-TRAN-2055)는 롱탄공항을 국도 51호선 및 순환도로 3호선과 연결하는 사업입니다. 현재 착공 단계로 진행 중이며, 국경일 연휴 기간에도 공사가 계속되고 있습니다. 발주...</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 English Edition</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2026-08-29</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호치민시 최초의 지하철 노선이 긴급 프로젝트로 롱탄 국제공항까지 연장된다</w:t>
            </w:r>
          </w:p>
          <w:p>
            <w:pPr>
              <w:spacing w:before="40"/>
            </w:pPr>
            <w:r>
              <w:rPr>
                <w:rFonts w:ascii="Arial" w:cs="Arial" w:eastAsia="Arial" w:hAnsi="Arial"/>
                <w:color w:val="5F5E5A"/>
                <w:sz w:val="16"/>
                <w:szCs w:val="16"/>
              </w:rPr>
              <w:t xml:space="preserve">요청하신 기사의 실제 콘텐츠를 확인할 수 없습니다. 제공된 URL이 404 오류를 반환하여 기사 전문에 접근할 수 없습니다. HCM시 첫 번째 지하철 노선의 롱탄 국제공항 연장 프로젝트(VN-TRAN-2055)에 대...</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 News Agency (VNA)</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2026-08-28</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롱탄공항까지 지하철 1호선 확장 긴급 승인</w:t>
            </w:r>
          </w:p>
          <w:p>
            <w:pPr>
              <w:spacing w:before="40"/>
            </w:pPr>
            <w:r>
              <w:rPr>
                <w:rFonts w:ascii="Arial" w:cs="Arial" w:eastAsia="Arial" w:hAnsi="Arial"/>
                <w:color w:val="5F5E5A"/>
                <w:sz w:val="16"/>
                <w:szCs w:val="16"/>
              </w:rPr>
              <w:t xml:space="preserve">①롱탄공항 연결 메트로 1호선 연장사업 ②구체적 규모 미기재 ③승인단계 ④베트남 정부 ⑤추후 입찰·착공 진행예정. 동나이성과 롱탄공항을 연결하는 메트로 확장으로 교통 연계성 강화. 마스터플랜 VN-TRAN-2055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SGGP English Edition, Tuoi Tre News, DTiNews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2026-08-27</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투티엠-롱탄 도시철도(메트로 노선 연장)</w:t>
            </w:r>
          </w:p>
          <w:p>
            <w:pPr>
              <w:spacing w:before="40"/>
            </w:pPr>
            <w:r>
              <w:rPr>
                <w:rFonts w:ascii="Arial" w:cs="Arial" w:eastAsia="Arial" w:hAnsi="Arial"/>
                <w:color w:val="5F5E5A"/>
                <w:sz w:val="16"/>
                <w:szCs w:val="16"/>
              </w:rPr>
              <w:t xml:space="preserve">① Thu Thiem-Long Thanh 도시철도(메트로 연장선) ② 시간당 47,000명 수송 능력 ③ 계획 단계 ④ 호찌민시 정부, 베트남 교통부 ⑤ 상세 일정 미공개, 향후 착공 예정. VN-TRAN-2055 ...</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The Star, DTiNews, Vietnam News, Silverland Hotels, VnExpress International</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2026-08-27</w:t>
            </w:r>
          </w:p>
        </w:tc>
      </w:tr>
    </w:tbl>
    <w:p>
      <w:pPr>
        <w:spacing w:after="160"/>
      </w:pPr>
      <w:r>
        <w:t xml:space="preserve"/>
      </w:r>
    </w:p>
    <w:p>
      <w:pPr>
        <w:pBdr>
          <w:bottom w:val="single" w:color="795548"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[12/19]: 도시철도 국가전략 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1976D2"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12</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도시철도 국가전략 2030</w:t>
            </w:r>
          </w:p>
          <w:p>
            <w:r>
              <w:rPr>
                <w:rFonts w:ascii="Arial" w:cs="Arial" w:eastAsia="Arial" w:hAnsi="Arial"/>
                <w:color w:val="5F5E5A"/>
                <w:sz w:val="18"/>
                <w:szCs w:val="18"/>
              </w:rPr>
              <w:t xml:space="preserve">플랜 ID: VN-URB-METRO-2030  |  섹터: Smart City</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정치국 결의(49-KL/TW) 및 국회 특례결의 188/2025/QH15로 재원조달·설계·TOD 특례가 확립됐다. 부총리가 도시철도 국가통일기술표준 제정을 지시했다. [V4.1 업데이트] 획기적 국가 규제 완화 결정인 Resolution 188/2025/QH15에 따라, 수의계약 특례 적용 및 TOD 방식 개발 권한을 바탕으로 하노이 5개 노선(1, 2, 8, 10, 14호선) 신설이 가속화되며, 호치민 메트로 2호선(벤탄-탐루옹)은 2026년 1월 55.1조 동의 예산을 투입해 본격적인 기공에 돌입했다.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메트로 목표</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15~17개 노선</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2A·3호선 부분 운영</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2호선 (벤탄~탐르엉)</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11.3km</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w:t>
            </w:r>
          </w:p>
        </w:tc>
      </w:tr>
      <w:tr>
        <w:tc>
          <w:tcPr>
            <w:tcW w:type="dxa" w:w="34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신규 5대 도시철도 (1, 2, 8, 10, 14호선)</w:t>
            </w:r>
          </w:p>
        </w:tc>
        <w:tc>
          <w:tcPr>
            <w:tcW w:type="dxa" w:w="180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bCs/>
                <w:color w:val="185FA5"/>
                <w:sz w:val="19"/>
                <w:szCs w:val="19"/>
              </w:rPr>
              <w:t xml:space="preserve">미정</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AFAF8" w:val="clear"/>
            <w:tcMar>
              <w:top w:type="dxa" w:w="100"/>
              <w:left w:type="dxa" w:w="150"/>
              <w:bottom w:type="dxa" w:w="100"/>
              <w:right w:type="dxa" w:w="150"/>
            </w:tcMar>
          </w:tcPr>
          <w:p>
            <w:r>
              <w:rPr>
                <w:rFonts w:ascii="Arial" w:cs="Arial" w:eastAsia="Arial" w:hAnsi="Arial"/>
                <w:b w:val="false"/>
                <w:bCs w:val="false"/>
                <w:color w:val="1A1A1A"/>
                <w:sz w:val="19"/>
                <w:szCs w:val="19"/>
              </w:rPr>
              <w:t xml:space="preserve">하노이 광역</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ℹ️ 금주(최근 14일간) 해당 마스터플랜과 직접 연계된 신규 언론 보도 및 중요 정책 변동 사항이 포착되지 않았습니다. (기존 장기 추진 궤도 유지 중)</w:t>
      </w:r>
    </w:p>
    <w:p>
      <w:pPr>
        <w:spacing w:after="80"/>
      </w:pPr>
      <w:r>
        <w:t xml:space="preserve"/>
      </w:r>
    </w:p>
    <w:p>
      <w:pPr>
        <w:shd w:fill="F1EFE8" w:val="clear"/>
        <w:spacing w:after="80" w:before="80"/>
        <w:ind w:left="240"/>
      </w:pPr>
      <w:r>
        <w:rPr>
          <w:rFonts w:ascii="Arial" w:cs="Arial" w:eastAsia="Arial" w:hAnsi="Arial"/>
          <w:b/>
          <w:bCs/>
          <w:color w:val="5F5E5A"/>
          <w:sz w:val="19"/>
          <w:szCs w:val="19"/>
        </w:rPr>
        <w:t xml:space="preserve">ℹ️ 해당 기간 수집 기사가 없습니다.</w:t>
      </w:r>
    </w:p>
    <w:p>
      <w:pPr>
        <w:spacing w:after="160"/>
      </w:pPr>
      <w:r>
        <w:t xml:space="preserve"/>
      </w:r>
    </w:p>
    <w:p>
      <w:pPr>
        <w:pBdr>
          <w:bottom w:val="single" w:color="1976D2"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[13/19]: 환경산업 개발프로그램</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5F5E5A"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13</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환경산업 개발프로그램</w:t>
            </w:r>
          </w:p>
          <w:p>
            <w:r>
              <w:rPr>
                <w:rFonts w:ascii="Arial" w:cs="Arial" w:eastAsia="Arial" w:hAnsi="Arial"/>
                <w:color w:val="5F5E5A"/>
                <w:sz w:val="18"/>
                <w:szCs w:val="18"/>
              </w:rPr>
              <w:t xml:space="preserve">플랜 ID: VN-ENV-IND-1894  |  섹터: Environment</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환경산업 기술 자립화 프로그램으로 폐수·대기·폐기물 장비 국산화 목표. 스타비안(Stavian) 재활용단지가 IRC 승인을 획득하여 추진 중이다.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폐수처리 기술 국산화</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70~80% (2030)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2025년 기준 ~30%</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Stavian Plastic Recycling Complex</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연 17,000톤</w:t>
            </w:r>
          </w:p>
        </w:tc>
        <w:tc>
          <w:tcPr>
            <w:tcW w:type="dxa" w:w="1800"/>
            <w:tcBorders>
              <w:top w:val="single" w:color="DDDDDD" w:sz="1"/>
              <w:left w:val="single" w:color="DDDDDD" w:sz="1"/>
              <w:bottom w:val="single" w:color="DDDDDD" w:sz="1"/>
              <w:right w:val="single" w:color="DDDDDD" w:sz="1"/>
            </w:tcBorders>
            <w:shd w:fill="EEEDFE" w:val="clear"/>
            <w:tcMar>
              <w:top w:type="dxa" w:w="100"/>
              <w:left w:type="dxa" w:w="150"/>
              <w:bottom w:type="dxa" w:w="100"/>
              <w:right w:type="dxa" w:w="150"/>
            </w:tcMar>
          </w:tcPr>
          <w:p>
            <w:r>
              <w:rPr>
                <w:rFonts w:ascii="Arial" w:cs="Arial" w:eastAsia="Arial" w:hAnsi="Arial"/>
                <w:b/>
                <w:bCs/>
                <w:color w:val="3C3489"/>
                <w:sz w:val="19"/>
                <w:szCs w:val="19"/>
              </w:rPr>
              <w:t xml:space="preserve">계획</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타인호아성</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ℹ️ 금주(최근 14일간) 해당 마스터플랜과 직접 연계된 신규 언론 보도 및 중요 정책 변동 사항이 포착되지 않았습니다. (기존 장기 추진 궤도 유지 중)</w:t>
      </w:r>
    </w:p>
    <w:p>
      <w:pPr>
        <w:spacing w:after="80"/>
      </w:pPr>
      <w:r>
        <w:t xml:space="preserve"/>
      </w:r>
    </w:p>
    <w:p>
      <w:pPr>
        <w:shd w:fill="F1EFE8" w:val="clear"/>
        <w:spacing w:after="80" w:before="80"/>
        <w:ind w:left="240"/>
      </w:pPr>
      <w:r>
        <w:rPr>
          <w:rFonts w:ascii="Arial" w:cs="Arial" w:eastAsia="Arial" w:hAnsi="Arial"/>
          <w:b/>
          <w:bCs/>
          <w:color w:val="5F5E5A"/>
          <w:sz w:val="19"/>
          <w:szCs w:val="19"/>
        </w:rPr>
        <w:t xml:space="preserve">ℹ️ 해당 기간 수집 기사가 없습니다.</w:t>
      </w:r>
    </w:p>
    <w:p>
      <w:pPr>
        <w:spacing w:after="160"/>
      </w:pPr>
      <w:r>
        <w:t xml:space="preserve"/>
      </w:r>
    </w:p>
    <w:p>
      <w:pPr>
        <w:pBdr>
          <w:bottom w:val="single" w:color="5F5E5A"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[14/19]: 자연환경 보전 전략 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5F5E5A"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14</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자연환경 보전 전략 2030</w:t>
            </w:r>
          </w:p>
          <w:p>
            <w:r>
              <w:rPr>
                <w:rFonts w:ascii="Arial" w:cs="Arial" w:eastAsia="Arial" w:hAnsi="Arial"/>
                <w:color w:val="5F5E5A"/>
                <w:sz w:val="18"/>
                <w:szCs w:val="18"/>
              </w:rPr>
              <w:t xml:space="preserve">플랜 ID: VN-ENV-NATURA  |  섹터: Environment</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국가 생물다양성 보전 계획. 2030년까지 육상/해양 보호구역 확장이 목표다.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육상 보호구역 비율</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9% (2030)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7.6% (2024)</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Cat Tien 국립공원 보전 프로젝트</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72,000 ha</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Dong Nai</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이번 주 핵심 진행사항 (사업 추진 현황): '자연환경 보전 전략 2030' 마스터플랜 수립의 일환으로, 국제환경단체 The Nature Conservancy(TNC) 주도하에 홍콩·광둥 지역 및 아시아 전역 생태계 복원을 위한 '자연기반 솔루션(NbS) 기반 기후변화 대응 및 경제회복력 강화 프로젝트'가 본격적인 계획 및 추진 단계에 착수했습니다.</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투자 및 사업 기회 시그널 (한국 기업 관점): 아시아 광역 생태계 복원 및 기후 적응형 친환경 인프라 시장 확대가 본격화됨에 따라, 한국의 환경 엔지니어링, 스마트 모니터링(IoT·위성 분석), ESG 및 녹색금융 연계 자문 기업들은 국제기구 및 현지 기관과의 파트너십을 통한 시장 선점 기회를 확보할 수 있습니다.</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리스크 또는 지연 징후 (없으면 특이사항 없음): 현재 계획 및 추진 단계로 구체적인 지연 징후는 발생하지 않아 특이사항은 없으나, 다국가 및 광역 지자체 간 협업이 필요한 프로젝트 특성상 인허가 절차 및 재원 조달 방식 협의에 따른 일정 변동 가능성은 지속해서 모니터링할 필요가 있습니다.</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Nature Conservancy는 기후 영향을 해결하고 경제적 회복력과 장기적인 발전을 지원하기 위해 자연 기반 솔루션을 탐구합니다.</w:t>
            </w:r>
          </w:p>
          <w:p>
            <w:pPr>
              <w:spacing w:before="40"/>
            </w:pPr>
            <w:r>
              <w:rPr>
                <w:rFonts w:ascii="Arial" w:cs="Arial" w:eastAsia="Arial" w:hAnsi="Arial"/>
                <w:color w:val="5F5E5A"/>
                <w:sz w:val="16"/>
                <w:szCs w:val="16"/>
              </w:rPr>
              <w:t xml:space="preserve">사업명: 자연기반 솔루션(NbS)을 통한 기후변화 대응 및 경제회복력 강화 프로젝트
규모: 홍콩·광둥 지역 및 아시아 전역 생태계 복원
단계: 계획·추진 중
주요기관: The Nature Conservancy(TNC...</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en_prnasisa</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2026-09-01</w:t>
            </w:r>
          </w:p>
        </w:tc>
      </w:tr>
    </w:tbl>
    <w:p>
      <w:pPr>
        <w:spacing w:after="160"/>
      </w:pPr>
      <w:r>
        <w:t xml:space="preserve"/>
      </w:r>
    </w:p>
    <w:p>
      <w:pPr>
        <w:pBdr>
          <w:bottom w:val="single" w:color="5F5E5A"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[15/19]: 전력개발계획 PDP8 (통합)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E65100"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15</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전력개발계획 PDP8 (통합)</w:t>
            </w:r>
          </w:p>
          <w:p>
            <w:r>
              <w:rPr>
                <w:rFonts w:ascii="Arial" w:cs="Arial" w:eastAsia="Arial" w:hAnsi="Arial"/>
                <w:color w:val="5F5E5A"/>
                <w:sz w:val="18"/>
                <w:szCs w:val="18"/>
              </w:rPr>
              <w:t xml:space="preserve">플랜 ID: VN-PWR-PDP8  |  섹터: Power</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PDP8 전면 개정으로 목표 용량이 183~236GW로 상향되었다. EVN의 2026년 상반기 발전량은 전년대비 9.85% 급증했다.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총 발전설비 (2030)</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183,291~236,363 MW</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약 87,600 MW (2025 실적)</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남북 전력 밸런스 개선용 송전선로 건설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500kV</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전국</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제시된 뉴스 기사를 바탕으로 작성한 경영진 보고용 인사이트는 다음과 같습니다.</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**이번 주 핵심 진행사항 (사업 추진 현황):** 독일 정부가 재생에너지 확대에 따른 전력망 간헐성을 보완하고 녹색 전환을 추진하기 위해 350억 유로 규모의 가스발전소 구축 계획을 발표하였으며, 이는 베트남 제8차 전력개발계획(PDP8)과 마찬가지로 글로벌 에너지 전환 과정에서 가스 및 LNG 발전을 핵심 가교(Bridge) 전력원으로 활용하는 흐름을 보여줍니다.</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**투자 및 사업 기회 시그널 (한국 기업 관점):** 탈탄소 전환 과정에서 가스·LNG 복합화력발전의 백업 기저전력 역할이 국제적으로 재확인됨에 따라, 베트남 PDP8 내 주요 LNG 발전 프로젝트 및 관련 LNG 터미널, 수소 혼소 발전 전환 기술을 보유한 한국 EPC 및 에너지 기업들의 사업 기회와 시장 참여 가능성이 더욱 높아질 것으로 기대됩니다.</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**리스크 또는 지연 징후 (없으면 특이사항 없음):** 글로벌 가스 수급 불안정에 따른 연료 가격 변동성 증대와 탄소배출 규제 강화로 인한 전환 비용 발생 위험이 상존하므로, 베트남 내 LNG 발전 프로젝트 진행 시 전력구매계약(PPA) 조건 및 가격 정산 매커니즘의 구체화 여부를 신중히 점검해야 합니다.</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1건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0건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2E7D32"/>
                <w:sz w:val="18"/>
                <w:szCs w:val="18"/>
              </w:rPr>
              <w:t xml:space="preserve">🆕</w:t>
            </w:r>
          </w:p>
        </w:tc>
        <w:tc>
          <w:tcPr>
            <w:tcW w:type="dxa" w:w="556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b/>
                <w:bCs/>
                <w:color w:val="1A1A1A"/>
                <w:sz w:val="18"/>
                <w:szCs w:val="18"/>
              </w:rPr>
              <w:t xml:space="preserve">독일은 녹색 전환 기간 동안 가스 전력을 구축하기 위해 350억 유로를 투자합니다.</w:t>
            </w:r>
          </w:p>
          <w:p>
            <w:pPr>
              <w:spacing w:before="40"/>
            </w:pPr>
            <w:r>
              <w:rPr>
                <w:rFonts w:ascii="Arial" w:cs="Arial" w:eastAsia="Arial" w:hAnsi="Arial"/>
                <w:color w:val="5F5E5A"/>
                <w:sz w:val="16"/>
                <w:szCs w:val="16"/>
              </w:rPr>
              <w:t xml:space="preserve">사업명: 독일 가스발전소 구축 사업 | 규모: 350억 유로 투자 | 진행단계: 계획 | 주요기관: 독일 정부 | 일정: 녹색 전환 과정 중 추진 중. 재생에너지 확대에 따른 에너지 안정성 확보를 위해 가스발전을 중...</w:t>
            </w:r>
          </w:p>
        </w:tc>
        <w:tc>
          <w:tcPr>
            <w:tcW w:type="dxa" w:w="18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r>
              <w:rPr>
                <w:rFonts w:ascii="Arial" w:cs="Arial" w:eastAsia="Arial" w:hAnsi="Arial"/>
                <w:color w:val="185FA5"/>
                <w:sz w:val="17"/>
                <w:szCs w:val="17"/>
              </w:rPr>
              <w:t xml:space="preserve">Moi truong &amp; Cuoc song</w:t>
            </w:r>
          </w:p>
        </w:tc>
        <w:tc>
          <w:tcPr>
            <w:tcW w:type="dxa" w:w="1300"/>
            <w:tcBorders>
              <w:top w:val="single" w:color="DDDDDD" w:sz="1"/>
              <w:left w:val="single" w:color="DDDDDD" w:sz="1"/>
              <w:bottom w:val="single" w:color="DDDDDD" w:sz="1"/>
              <w:right w:val="single" w:color="DDDDDD" w:sz="1"/>
            </w:tcBorders>
            <w:shd w:fill="E8F5E9"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2026-09-05</w:t>
            </w:r>
          </w:p>
        </w:tc>
      </w:tr>
    </w:tbl>
    <w:p>
      <w:pPr>
        <w:spacing w:after="160"/>
      </w:pPr>
      <w:r>
        <w:t xml:space="preserve"/>
      </w:r>
    </w:p>
    <w:p>
      <w:pPr>
        <w:pBdr>
          <w:bottom w:val="single" w:color="E65100"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[16/19]: 동아인 스마트시티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1976D2"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16</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동아인 스마트시티</w:t>
            </w:r>
          </w:p>
          <w:p>
            <w:r>
              <w:rPr>
                <w:rFonts w:ascii="Arial" w:cs="Arial" w:eastAsia="Arial" w:hAnsi="Arial"/>
                <w:color w:val="5F5E5A"/>
                <w:sz w:val="18"/>
                <w:szCs w:val="18"/>
              </w:rPr>
              <w:t xml:space="preserve">플랜 ID: VN-HAN-DONG-ANH  |  섹터: Smart City</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BRG-Sumitomo 합작 스마트시티 프로젝트가 2025년 8월 실질 착공을 거쳤으며, 공사 가속화가 지시되었다.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인구 수용</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30~40만 (2045)</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약 4.2만 (2024)</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North Hanoi Smart City</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약 $4.2B</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Dong Anh</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ℹ️ 금주(최근 14일간) 해당 마스터플랜과 직접 연계된 신규 언론 보도 및 중요 정책 변동 사항이 포착되지 않았습니다. (기존 장기 추진 궤도 유지 중)</w:t>
      </w:r>
    </w:p>
    <w:p>
      <w:pPr>
        <w:spacing w:after="80"/>
      </w:pPr>
      <w:r>
        <w:t xml:space="preserve"/>
      </w:r>
    </w:p>
    <w:p>
      <w:pPr>
        <w:shd w:fill="F1EFE8" w:val="clear"/>
        <w:spacing w:after="80" w:before="80"/>
        <w:ind w:left="240"/>
      </w:pPr>
      <w:r>
        <w:rPr>
          <w:rFonts w:ascii="Arial" w:cs="Arial" w:eastAsia="Arial" w:hAnsi="Arial"/>
          <w:b/>
          <w:bCs/>
          <w:color w:val="5F5E5A"/>
          <w:sz w:val="19"/>
          <w:szCs w:val="19"/>
        </w:rPr>
        <w:t xml:space="preserve">ℹ️ 해당 기간 수집 기사가 없습니다.</w:t>
      </w:r>
    </w:p>
    <w:p>
      <w:pPr>
        <w:spacing w:after="160"/>
      </w:pPr>
      <w:r>
        <w:t xml:space="preserve"/>
      </w:r>
    </w:p>
    <w:p>
      <w:pPr>
        <w:pBdr>
          <w:bottom w:val="single" w:color="1976D2"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[17/19]: 호아락 하이테크파크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6A1B9A"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17</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호아락 하이테크파크</w:t>
            </w:r>
          </w:p>
          <w:p>
            <w:r>
              <w:rPr>
                <w:rFonts w:ascii="Arial" w:cs="Arial" w:eastAsia="Arial" w:hAnsi="Arial"/>
                <w:color w:val="5F5E5A"/>
                <w:sz w:val="18"/>
                <w:szCs w:val="18"/>
              </w:rPr>
              <w:t xml:space="preserve">플랜 ID: VN-HAN-HOA-LAC  |  섹터: Industrial Parks</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하노이 서부 하이테크파크로, 2026.7 보도 기준 입주 프로젝트는 113건, 가동률은 42% 수준이다.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입주 프로젝트 수</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800개 (2030)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113개 (2026.7 보도)</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Viettel 반도체 공장</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약 $13억</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Hoa Lac</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ℹ️ 금주(최근 14일간) 해당 마스터플랜과 직접 연계된 신규 언론 보도 및 중요 정책 변동 사항이 포착되지 않았습니다. (기존 장기 추진 궤도 유지 중)</w:t>
      </w:r>
    </w:p>
    <w:p>
      <w:pPr>
        <w:spacing w:after="80"/>
      </w:pPr>
      <w:r>
        <w:t xml:space="preserve"/>
      </w:r>
    </w:p>
    <w:p>
      <w:pPr>
        <w:shd w:fill="F1EFE8" w:val="clear"/>
        <w:spacing w:after="80" w:before="80"/>
        <w:ind w:left="240"/>
      </w:pPr>
      <w:r>
        <w:rPr>
          <w:rFonts w:ascii="Arial" w:cs="Arial" w:eastAsia="Arial" w:hAnsi="Arial"/>
          <w:b/>
          <w:bCs/>
          <w:color w:val="5F5E5A"/>
          <w:sz w:val="19"/>
          <w:szCs w:val="19"/>
        </w:rPr>
        <w:t xml:space="preserve">ℹ️ 해당 기간 수집 기사가 없습니다.</w:t>
      </w:r>
    </w:p>
    <w:p>
      <w:pPr>
        <w:spacing w:after="160"/>
      </w:pPr>
      <w:r>
        <w:t xml:space="preserve"/>
      </w:r>
    </w:p>
    <w:p>
      <w:pPr>
        <w:pBdr>
          <w:bottom w:val="single" w:color="6A1B9A"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[18/19]: 국가 주택 개발 계획 2030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5F5E5A"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18</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국가 주택 개발 계획 2030</w:t>
            </w:r>
          </w:p>
          <w:p>
            <w:r>
              <w:rPr>
                <w:rFonts w:ascii="Arial" w:cs="Arial" w:eastAsia="Arial" w:hAnsi="Arial"/>
                <w:color w:val="5F5E5A"/>
                <w:sz w:val="18"/>
                <w:szCs w:val="18"/>
              </w:rPr>
              <w:t xml:space="preserve">플랜 ID: VN-HOUSING-2030  |  섹터: Construction</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저가 보급형 주택 집중 구축 계획. 2026.7.1부로 SBV의 사회주택 우대금리가 적용되었다.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사회주택 공급</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100만호 (2030)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약 25만호 누적</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Vinhomes Ocean Park</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1,200 ha</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Hung Yen</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spacing w:after="100"/>
      </w:pPr>
      <w:r>
        <w:rPr>
          <w:rFonts w:ascii="Arial" w:cs="Arial" w:eastAsia="Arial" w:hAnsi="Arial"/>
          <w:color w:val="1A1A1A"/>
          <w:sz w:val="20"/>
          <w:szCs w:val="20"/>
        </w:rPr>
        <w:t xml:space="preserve">수집된 뉴스 기사를 바탕으로 작성한 경영진 보고용 인사이트입니다.</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이번 주 핵심 진행사항 (사업 추진 현황): 베트남 주요 공업 도시인 빈즈엉(Binh Duong)성 투안안 폐수처리장의 용량 증설 사업이 추진 중이며, 중부 다낭 남탕빈 산업단지 폐수처리장은 9월 국경절 전 준공 및 운영 시작을 목표로 막바지 단계를 진행하는 등 전국 주요 산업·거점 지역을 중심으로 환경 수처리 인프라 구축 및 확장이 본격화되고 있습니다.</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투자 및 사업 기회 시그널 (한국 기업 관점): 지방정부 및 산업단지 관리청 주도의 수처리 인프라 확대 움직임은 우수한 환경 기술력과 EPC 경쟁력을 보유한 한국 기업들에게 산업단지 폐수처리 설비 및 기자재 공급, O&amp;M(위탁운영) 사업권 확보, 신규 인프라 입찰 참여 등 다각도의 시장 진출 기회를 제공할 것으로 전망됩니다.</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리스크 또는 지연 징후 (없으면 특이사항 없음): 현재까지 공정 지연이나 법적·제도적 걸림돌 등 특이사항은 보고되지 않았으나, 일부 사업의 처리 용량 및 총사업비 등 구체적인 수치가 공개되지 않은 만큼 향후 세부 발주 조건과 실행 계획에 대한 지속적인 모니터링이 필요합니다.</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2건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Binh Duong성 Thuan An 폐수처리장 용량 증가</w:t>
            </w:r>
          </w:p>
          <w:p>
            <w:pPr>
              <w:spacing w:before="40"/>
            </w:pPr>
            <w:r>
              <w:rPr>
                <w:rFonts w:ascii="Arial" w:cs="Arial" w:eastAsia="Arial" w:hAnsi="Arial"/>
                <w:color w:val="5F5E5A"/>
                <w:sz w:val="16"/>
                <w:szCs w:val="16"/>
              </w:rPr>
              <w:t xml:space="preserve">① 투안안 폐수처리장 확대사업(Thuan An Wastewater Treatment Plant Capacity Increase) ② 사업규모 미상(기사에 구체적 수치 미기재) ③ 착공 ④ 빈즈엉성 당국, 호치민시 ⑤...</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 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2026-08-29</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다낭 남탕빈 산업단지 폐수처리장</w:t>
            </w:r>
          </w:p>
          <w:p>
            <w:pPr>
              <w:spacing w:before="40"/>
            </w:pPr>
            <w:r>
              <w:rPr>
                <w:rFonts w:ascii="Arial" w:cs="Arial" w:eastAsia="Arial" w:hAnsi="Arial"/>
                <w:color w:val="5F5E5A"/>
                <w:sz w:val="16"/>
                <w:szCs w:val="16"/>
              </w:rPr>
              <w:t xml:space="preserve">사업명: 다낭 남탕빈 산업단지 폐수처리장, 사업규모: 구체적 수치 미기재, 현재단계: 착공/운영 준비 중, 주요기관: 다낭시 정부·산업단지 관리청, 핵심일정: 국경절(9월) 전 준공 예정. VN-HOUSING-203...</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Vietnam Plus</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2026-08-29</w:t>
            </w:r>
          </w:p>
        </w:tc>
      </w:tr>
    </w:tbl>
    <w:p>
      <w:pPr>
        <w:spacing w:after="160"/>
      </w:pPr>
      <w:r>
        <w:t xml:space="preserve"/>
      </w:r>
    </w:p>
    <w:p>
      <w:pPr>
        <w:pBdr>
          <w:bottom w:val="single" w:color="5F5E5A" w:sz="4" w:space="1"/>
        </w:pBdr>
        <w:spacing w:after="160" w:before="160"/>
      </w:pPr>
    </w:p>
    <w:p>
      <w:pPr>
        <w:spacing w:after="160"/>
      </w:pPr>
      <w:r>
        <w:t xml:space="preserve"/>
      </w:r>
    </w:p>
    <w:p>
      <w:r>
        <w:br w:type="page"/>
      </w:r>
    </w:p>
    <w:p>
      <w:pPr>
        <w:pStyle w:val="Heading1"/>
        <w:spacing w:after="160" w:before="360"/>
      </w:pPr>
      <w:r>
        <w:rPr>
          <w:rFonts w:ascii="Arial" w:cs="Arial" w:eastAsia="Arial" w:hAnsi="Arial"/>
          <w:b/>
          <w:bCs/>
          <w:color w:val="0C2340"/>
          <w:sz w:val="32"/>
          <w:szCs w:val="32"/>
        </w:rPr>
        <w:t xml:space="preserve">플랜 분석 [19/19]: 스마트시티 국가전략 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8560"/>
      </w:tblGrid>
      <w:tr>
        <w:tc>
          <w:tcPr>
            <w:tcW w:type="dxa" w:w="800"/>
            <w:tcBorders>
              <w:top w:val="single" w:color="FFFFFF" w:sz="1"/>
              <w:left w:val="single" w:color="FFFFFF" w:sz="1"/>
              <w:bottom w:val="single" w:color="FFFFFF" w:sz="1"/>
              <w:right w:val="single" w:color="FFFFFF" w:sz="1"/>
            </w:tcBorders>
            <w:shd w:fill="1976D2" w:val="clear"/>
            <w:tcMar>
              <w:top w:type="dxa" w:w="120"/>
              <w:left w:type="dxa" w:w="160"/>
              <w:bottom w:type="dxa" w:w="120"/>
              <w:right w:type="dxa" w:w="160"/>
            </w:tcMar>
            <w:vAlign w:val="center"/>
          </w:tcPr>
          <w:p>
            <w:pPr>
              <w:jc w:val="center"/>
            </w:pPr>
            <w:r>
              <w:rPr>
                <w:rFonts w:ascii="Arial" w:cs="Arial" w:eastAsia="Arial" w:hAnsi="Arial"/>
                <w:b/>
                <w:bCs/>
                <w:color w:val="FFFFFF"/>
                <w:sz w:val="32"/>
                <w:szCs w:val="32"/>
              </w:rPr>
              <w:t xml:space="preserve">19</w:t>
            </w:r>
          </w:p>
        </w:tc>
        <w:tc>
          <w:tcPr>
            <w:tcW w:type="dxa" w:w="8560"/>
            <w:tcBorders>
              <w:top w:val="single" w:color="FFFFFF" w:sz="1"/>
              <w:left w:val="single" w:color="FFFFFF" w:sz="1"/>
              <w:bottom w:val="single" w:color="FFFFFF" w:sz="1"/>
              <w:right w:val="single" w:color="FFFFFF" w:sz="1"/>
            </w:tcBorders>
            <w:shd w:fill="F1EFE8" w:val="clear"/>
            <w:tcMar>
              <w:top w:type="dxa" w:w="120"/>
              <w:left w:type="dxa" w:w="240"/>
              <w:bottom w:type="dxa" w:w="120"/>
              <w:right w:type="dxa" w:w="160"/>
            </w:tcMar>
          </w:tcPr>
          <w:p>
            <w:r>
              <w:rPr>
                <w:rFonts w:ascii="Arial" w:cs="Arial" w:eastAsia="Arial" w:hAnsi="Arial"/>
                <w:b/>
                <w:bCs/>
                <w:color w:val="0C2340"/>
                <w:sz w:val="26"/>
                <w:szCs w:val="26"/>
              </w:rPr>
              <w:t xml:space="preserve">스마트시티 국가전략 2025</w:t>
            </w:r>
          </w:p>
          <w:p>
            <w:r>
              <w:rPr>
                <w:rFonts w:ascii="Arial" w:cs="Arial" w:eastAsia="Arial" w:hAnsi="Arial"/>
                <w:color w:val="5F5E5A"/>
                <w:sz w:val="18"/>
                <w:szCs w:val="18"/>
              </w:rPr>
              <w:t xml:space="preserve">플랜 ID: VN-SMART-2025  |  섹터: Smart City</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① 사업 개요 (Layer 1 — 정책 맥락)</w:t>
      </w:r>
    </w:p>
    <w:p>
      <w:pPr>
        <w:spacing w:after="100"/>
      </w:pPr>
      <w:r>
        <w:rPr>
          <w:rFonts w:ascii="Arial" w:cs="Arial" w:eastAsia="Arial" w:hAnsi="Arial"/>
          <w:color w:val="1A1A1A"/>
          <w:sz w:val="20"/>
          <w:szCs w:val="20"/>
        </w:rPr>
        <w:t xml:space="preserve">전국 주요 도시에 지능형 플랫폼을 구축하는 로드맵으로 호치민이 5G 기지국 8,500개를 초과 설치하여 선도 중이다.</w:t>
      </w:r>
    </w:p>
    <w:p>
      <w:pPr>
        <w:spacing w:after="80"/>
      </w:pPr>
      <w:r>
        <w:t xml:space="preserve"/>
      </w:r>
    </w:p>
    <w:p>
      <w:pPr>
        <w:pStyle w:val="Heading2"/>
        <w:spacing w:after="120" w:before="240"/>
      </w:pPr>
      <w:r>
        <w:rPr>
          <w:rFonts w:ascii="Arial" w:cs="Arial" w:eastAsia="Arial" w:hAnsi="Arial"/>
          <w:b/>
          <w:bCs/>
          <w:color w:val="0d9488"/>
          <w:sz w:val="26"/>
          <w:szCs w:val="26"/>
        </w:rPr>
        <w:t xml:space="preserve">② KPI 목표 및 기준값</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200"/>
        <w:gridCol w:w="2560"/>
      </w:tblGrid>
      <w:tr>
        <w:tc>
          <w:tcPr>
            <w:tcW w:type="dxa" w:w="36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지표 (Indicator)</w:t>
            </w:r>
          </w:p>
        </w:tc>
        <w:tc>
          <w:tcPr>
            <w:tcW w:type="dxa" w:w="20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목표값 (Target)</w:t>
            </w:r>
          </w:p>
        </w:tc>
        <w:tc>
          <w:tcPr>
            <w:tcW w:type="dxa" w:w="120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단위</w:t>
            </w:r>
          </w:p>
        </w:tc>
        <w:tc>
          <w:tcPr>
            <w:tcW w:type="dxa" w:w="2560"/>
            <w:tcBorders>
              <w:top w:val="single" w:color="0d9488" w:sz="1"/>
              <w:left w:val="single" w:color="0d9488" w:sz="1"/>
              <w:bottom w:val="single" w:color="0d9488" w:sz="1"/>
              <w:right w:val="single" w:color="0d9488" w:sz="1"/>
            </w:tcBorders>
            <w:shd w:fill="085041"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기준값 (Baseline)</w:t>
            </w:r>
          </w:p>
        </w:tc>
      </w:tr>
      <w:tr>
        <w:tc>
          <w:tcPr>
            <w:tcW w:type="dxa" w:w="36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5G 커버리지</w:t>
            </w:r>
          </w:p>
        </w:tc>
        <w:tc>
          <w:tcPr>
            <w:tcW w:type="dxa" w:w="2000"/>
            <w:tcBorders>
              <w:top w:val="single" w:color="DDDDDD" w:sz="1"/>
              <w:left w:val="single" w:color="DDDDDD" w:sz="1"/>
              <w:bottom w:val="single" w:color="DDDDDD" w:sz="1"/>
              <w:right w:val="single" w:color="DDDDDD" w:sz="1"/>
            </w:tcBorders>
            <w:shd w:fill="E1F5EE" w:val="clear"/>
            <w:tcMar>
              <w:top w:type="dxa" w:w="100"/>
              <w:left w:type="dxa" w:w="150"/>
              <w:bottom w:type="dxa" w:w="100"/>
              <w:right w:type="dxa" w:w="150"/>
            </w:tcMar>
          </w:tcPr>
          <w:p>
            <w:r>
              <w:rPr>
                <w:rFonts w:ascii="Arial" w:cs="Arial" w:eastAsia="Arial" w:hAnsi="Arial"/>
                <w:b/>
                <w:bCs/>
                <w:color w:val="085041"/>
                <w:sz w:val="19"/>
                <w:szCs w:val="19"/>
              </w:rPr>
              <w:t xml:space="preserve">도시 100% (2030)</w:t>
            </w:r>
          </w:p>
        </w:tc>
        <w:tc>
          <w:tcPr>
            <w:tcW w:type="dxa" w:w="12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
            </w:r>
          </w:p>
        </w:tc>
        <w:tc>
          <w:tcPr>
            <w:tcW w:type="dxa" w:w="2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보급률 95% 이상</w:t>
            </w:r>
          </w:p>
        </w:tc>
      </w:tr>
    </w:tbl>
    <w:p>
      <w:pPr>
        <w:spacing w:after="80"/>
      </w:pPr>
      <w:r>
        <w:t xml:space="preserve"/>
      </w:r>
    </w:p>
    <w:p>
      <w:pPr>
        <w:pStyle w:val="Heading2"/>
        <w:spacing w:after="120" w:before="240"/>
      </w:pPr>
      <w:r>
        <w:rPr>
          <w:rFonts w:ascii="Arial" w:cs="Arial" w:eastAsia="Arial" w:hAnsi="Arial"/>
          <w:b/>
          <w:bCs/>
          <w:color w:val="0d9488"/>
          <w:sz w:val="26"/>
          <w:szCs w:val="26"/>
        </w:rPr>
        <w:t xml:space="preserve">③ 주요 계획 프로젝트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2360"/>
      </w:tblGrid>
      <w:tr>
        <w:tc>
          <w:tcPr>
            <w:tcW w:type="dxa" w:w="34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프로젝트명</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규모·용량</w:t>
            </w:r>
          </w:p>
        </w:tc>
        <w:tc>
          <w:tcPr>
            <w:tcW w:type="dxa" w:w="180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추진 상태</w:t>
            </w:r>
          </w:p>
        </w:tc>
        <w:tc>
          <w:tcPr>
            <w:tcW w:type="dxa" w:w="2360"/>
            <w:tcBorders>
              <w:top w:val="single" w:color="0d9488" w:sz="1"/>
              <w:left w:val="single" w:color="0d9488" w:sz="1"/>
              <w:bottom w:val="single" w:color="0d9488" w:sz="1"/>
              <w:right w:val="single" w:color="0d9488" w:sz="1"/>
            </w:tcBorders>
            <w:shd w:fill="0d9488" w:val="clear"/>
            <w:tcMar>
              <w:top w:type="dxa" w:w="100"/>
              <w:left w:type="dxa" w:w="150"/>
              <w:bottom w:type="dxa" w:w="100"/>
              <w:right w:type="dxa" w:w="150"/>
            </w:tcMar>
          </w:tcPr>
          <w:p>
            <w:pPr>
              <w:jc w:val="center"/>
            </w:pPr>
            <w:r>
              <w:rPr>
                <w:rFonts w:ascii="Arial" w:cs="Arial" w:eastAsia="Arial" w:hAnsi="Arial"/>
                <w:b/>
                <w:bCs/>
                <w:color w:val="FFFFFF"/>
                <w:sz w:val="19"/>
                <w:szCs w:val="19"/>
              </w:rPr>
              <w:t xml:space="preserve">대상 지역</w:t>
            </w:r>
          </w:p>
        </w:tc>
      </w:tr>
      <w:tr>
        <w:tc>
          <w:tcPr>
            <w:tcW w:type="dxa" w:w="34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호치민 IoT 통합 플랫폼</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bCs/>
                <w:color w:val="185FA5"/>
                <w:sz w:val="19"/>
                <w:szCs w:val="19"/>
              </w:rPr>
              <w:t xml:space="preserve">$200M</w:t>
            </w:r>
          </w:p>
        </w:tc>
        <w:tc>
          <w:tcPr>
            <w:tcW w:type="dxa" w:w="1800"/>
            <w:tcBorders>
              <w:top w:val="single" w:color="DDDDDD" w:sz="1"/>
              <w:left w:val="single" w:color="DDDDDD" w:sz="1"/>
              <w:bottom w:val="single" w:color="DDDDDD" w:sz="1"/>
              <w:right w:val="single" w:color="DDDDDD" w:sz="1"/>
            </w:tcBorders>
            <w:shd w:fill="E6F1FB" w:val="clear"/>
            <w:tcMar>
              <w:top w:type="dxa" w:w="100"/>
              <w:left w:type="dxa" w:w="150"/>
              <w:bottom w:type="dxa" w:w="100"/>
              <w:right w:type="dxa" w:w="150"/>
            </w:tcMar>
          </w:tcPr>
          <w:p>
            <w:r>
              <w:rPr>
                <w:rFonts w:ascii="Arial" w:cs="Arial" w:eastAsia="Arial" w:hAnsi="Arial"/>
                <w:b/>
                <w:bCs/>
                <w:color w:val="185FA5"/>
                <w:sz w:val="19"/>
                <w:szCs w:val="19"/>
              </w:rPr>
              <w:t xml:space="preserve">공사중</w:t>
            </w:r>
          </w:p>
        </w:tc>
        <w:tc>
          <w:tcPr>
            <w:tcW w:type="dxa" w:w="23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9"/>
                <w:szCs w:val="19"/>
              </w:rPr>
              <w:t xml:space="preserve">HCMC</w:t>
            </w:r>
          </w:p>
        </w:tc>
      </w:tr>
    </w:tbl>
    <w:p>
      <w:pPr>
        <w:spacing w:after="80"/>
      </w:pPr>
      <w:r>
        <w:t xml:space="preserve"/>
      </w:r>
    </w:p>
    <w:p>
      <w:pPr>
        <w:pStyle w:val="Heading2"/>
        <w:spacing w:after="120" w:before="240"/>
      </w:pPr>
      <w:r>
        <w:rPr>
          <w:rFonts w:ascii="Arial" w:cs="Arial" w:eastAsia="Arial" w:hAnsi="Arial"/>
          <w:b/>
          <w:bCs/>
          <w:color w:val="185FA5"/>
          <w:sz w:val="26"/>
          <w:szCs w:val="26"/>
        </w:rPr>
        <w:t xml:space="preserve">④ AI 분석 요약 (Layer 2 — 뉴스 인사이트)</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**이번 주 핵심 진행사항 (사업 추진 현황)**</w:t>
      </w:r>
    </w:p>
    <w:p>
      <w:pPr>
        <w:spacing w:after="100"/>
      </w:pPr>
      <w:r>
        <w:rPr>
          <w:rFonts w:ascii="Arial" w:cs="Arial" w:eastAsia="Arial" w:hAnsi="Arial"/>
          <w:color w:val="1A1A1A"/>
          <w:sz w:val="20"/>
          <w:szCs w:val="20"/>
        </w:rPr>
        <w:t xml:space="preserve">  박닌성 정부 주도로 디지털 전환을 핵심 축으로 삼아 2030년까지 세계 상위 50위 글로벌 스마트시티 진입을 목표로 하는 '박닌성 스마트시티 프로젝트' 마스터플랜이 초기 계획 단계에 진입하였습니다.</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**투자 및 사업 기회 시그널 (한국 기업 관점)**</w:t>
      </w:r>
    </w:p>
    <w:p>
      <w:pPr>
        <w:spacing w:after="100"/>
      </w:pPr>
      <w:r>
        <w:rPr>
          <w:rFonts w:ascii="Arial" w:cs="Arial" w:eastAsia="Arial" w:hAnsi="Arial"/>
          <w:color w:val="1A1A1A"/>
          <w:sz w:val="20"/>
          <w:szCs w:val="20"/>
        </w:rPr>
        <w:t xml:space="preserve">  박닌성은 한국 주요 제조 및 IT 기업들이 집중 입주해 있는 핵심 산업 거점인 만큼, 향후 도시 및 산업 인프라의 디지털 변혁 과정에서 지능형 교통 시스템(ITS), 데이터 센터, 스마트 파크 및 보안 솔루션 등 다양한 분야에서 한국 기업의 기술 협력 및 사업 수주 기회가 확대될 것으로 전망됩니다.</w:t>
      </w:r>
    </w:p>
    <w:p>
      <w:pPr>
        <w:pStyle w:val="ListParagraph"/>
        <w:numPr>
          <w:ilvl w:val="0"/>
          <w:numId w:val="2"/>
        </w:numPr>
        <w:spacing w:after="80"/>
      </w:pPr>
      <w:r>
        <w:rPr>
          <w:rFonts w:ascii="Arial" w:cs="Arial" w:eastAsia="Arial" w:hAnsi="Arial"/>
          <w:b/>
          <w:bCs/>
          <w:color w:val="1A1A1A"/>
          <w:sz w:val="20"/>
          <w:szCs w:val="20"/>
        </w:rPr>
        <w:t xml:space="preserve"/>
      </w:r>
      <w:r>
        <w:rPr>
          <w:rFonts w:ascii="Arial" w:cs="Arial" w:eastAsia="Arial" w:hAnsi="Arial"/>
          <w:color w:val="1A1A1A"/>
          <w:sz w:val="20"/>
          <w:szCs w:val="20"/>
        </w:rPr>
        <w:t xml:space="preserve">**리스크 또는 지연 징후 (없으면 특이사항 없음)**</w:t>
      </w:r>
    </w:p>
    <w:p>
      <w:pPr>
        <w:spacing w:after="100"/>
      </w:pPr>
      <w:r>
        <w:rPr>
          <w:rFonts w:ascii="Arial" w:cs="Arial" w:eastAsia="Arial" w:hAnsi="Arial"/>
          <w:color w:val="1A1A1A"/>
          <w:sz w:val="20"/>
          <w:szCs w:val="20"/>
        </w:rPr>
        <w:t xml:space="preserve">  사업이 현재 마스터플랜 수립 및 계획 초기 단계에 있어 구체적인 세부 발주 일정과 예산 확보 현황에 대한 지속적인 모니터링이 필요하나, 현재 직접적인 사업 지연 리스크나 특이사항은 없습니다.</w:t>
      </w:r>
    </w:p>
    <w:p>
      <w:pPr>
        <w:spacing w:after="80"/>
      </w:pPr>
      <w:r>
        <w:t xml:space="preserve"/>
      </w:r>
    </w:p>
    <w:p>
      <w:pPr>
        <w:pStyle w:val="Heading2"/>
        <w:spacing w:after="120" w:before="240"/>
      </w:pPr>
      <w:r>
        <w:rPr>
          <w:rFonts w:ascii="Arial" w:cs="Arial" w:eastAsia="Arial" w:hAnsi="Arial"/>
          <w:b/>
          <w:bCs/>
          <w:color w:val="185FA5"/>
          <w:sz w:val="26"/>
          <w:szCs w:val="26"/>
        </w:rPr>
        <w:t xml:space="preserve">⑤ 수집 기사 목록 (Matched Articles)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D32" w:sz="1"/>
              <w:left w:val="single" w:color="2E7D32" w:sz="1"/>
              <w:bottom w:val="single" w:color="2E7D32" w:sz="1"/>
              <w:right w:val="single" w:color="2E7D32" w:sz="1"/>
            </w:tcBorders>
            <w:shd w:fill="E8F5E9" w:val="clear"/>
            <w:tcMar>
              <w:top w:type="dxa" w:w="100"/>
              <w:left w:type="dxa" w:w="150"/>
              <w:bottom w:type="dxa" w:w="100"/>
              <w:right w:type="dxa" w:w="150"/>
            </w:tcMar>
          </w:tcPr>
          <w:p>
            <w:pPr>
              <w:jc w:val="center"/>
            </w:pPr>
            <w:r>
              <w:rPr>
                <w:rFonts w:ascii="Arial" w:cs="Arial" w:eastAsia="Arial" w:hAnsi="Arial"/>
                <w:b/>
                <w:bCs/>
                <w:color w:val="2E7D32"/>
                <w:sz w:val="20"/>
                <w:szCs w:val="20"/>
              </w:rPr>
              <w:t xml:space="preserve">🆕 신규 기사: 0건</w:t>
            </w:r>
          </w:p>
        </w:tc>
        <w:tc>
          <w:tcPr>
            <w:tcW w:type="dxa" w:w="4680"/>
            <w:tcBorders>
              <w:top w:val="single" w:color="BBBBBB" w:sz="1"/>
              <w:left w:val="single" w:color="BBBBBB" w:sz="1"/>
              <w:bottom w:val="single" w:color="BBBBBB" w:sz="1"/>
              <w:right w:val="single" w:color="BBBBBB" w:sz="1"/>
            </w:tcBorders>
            <w:shd w:fill="F5F5F5" w:val="clear"/>
            <w:tcMar>
              <w:top w:type="dxa" w:w="100"/>
              <w:left w:type="dxa" w:w="150"/>
              <w:bottom w:type="dxa" w:w="100"/>
              <w:right w:type="dxa" w:w="150"/>
            </w:tcMar>
          </w:tcPr>
          <w:p>
            <w:pPr>
              <w:jc w:val="center"/>
            </w:pPr>
            <w:r>
              <w:rPr>
                <w:rFonts w:ascii="Arial" w:cs="Arial" w:eastAsia="Arial" w:hAnsi="Arial"/>
                <w:b/>
                <w:bCs/>
                <w:color w:val="757575"/>
                <w:sz w:val="20"/>
                <w:szCs w:val="20"/>
              </w:rPr>
              <w:t xml:space="preserve">📋 기존 기사: 1건</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560"/>
        <w:gridCol w:w="1800"/>
        <w:gridCol w:w="1300"/>
      </w:tblGrid>
      <w:tr>
        <w:tc>
          <w:tcPr>
            <w:tcW w:type="dxa" w:w="7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구분</w:t>
            </w:r>
          </w:p>
        </w:tc>
        <w:tc>
          <w:tcPr>
            <w:tcW w:type="dxa" w:w="556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제목 (한국어)</w:t>
            </w:r>
          </w:p>
        </w:tc>
        <w:tc>
          <w:tcPr>
            <w:tcW w:type="dxa" w:w="18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출처</w:t>
            </w:r>
          </w:p>
        </w:tc>
        <w:tc>
          <w:tcPr>
            <w:tcW w:type="dxa" w:w="1300"/>
            <w:tcBorders>
              <w:top w:val="single" w:color="185FA5" w:sz="1"/>
              <w:left w:val="single" w:color="185FA5" w:sz="1"/>
              <w:bottom w:val="single" w:color="185FA5" w:sz="1"/>
              <w:right w:val="single" w:color="185FA5" w:sz="1"/>
            </w:tcBorders>
            <w:shd w:fill="185FA5" w:val="clear"/>
            <w:tcMar>
              <w:top w:type="dxa" w:w="100"/>
              <w:left w:type="dxa" w:w="150"/>
              <w:bottom w:type="dxa" w:w="100"/>
              <w:right w:type="dxa" w:w="150"/>
            </w:tcMar>
          </w:tcPr>
          <w:p>
            <w:pPr>
              <w:jc w:val="center"/>
            </w:pPr>
            <w:r>
              <w:rPr>
                <w:rFonts w:ascii="Arial" w:cs="Arial" w:eastAsia="Arial" w:hAnsi="Arial"/>
                <w:b/>
                <w:bCs/>
                <w:color w:val="FFFFFF"/>
                <w:sz w:val="18"/>
                <w:szCs w:val="18"/>
              </w:rPr>
              <w:t xml:space="preserve">날짜</w:t>
            </w:r>
          </w:p>
        </w:tc>
      </w:tr>
      <w:tr>
        <w:tc>
          <w:tcPr>
            <w:tcW w:type="dxa" w:w="7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8"/>
                <w:szCs w:val="18"/>
              </w:rPr>
              <w:t xml:space="preserve">·</w:t>
            </w:r>
          </w:p>
        </w:tc>
        <w:tc>
          <w:tcPr>
            <w:tcW w:type="dxa" w:w="556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b w:val="false"/>
                <w:bCs w:val="false"/>
                <w:color w:val="1A1A1A"/>
                <w:sz w:val="18"/>
                <w:szCs w:val="18"/>
              </w:rPr>
              <w:t xml:space="preserve">박닌성, 디지털 변혁에 초점을 맞춰 2030년까지 글로벌 스마트시티 순위 상위 50위 달성 목표</w:t>
            </w:r>
          </w:p>
          <w:p>
            <w:pPr>
              <w:spacing w:before="40"/>
            </w:pPr>
            <w:r>
              <w:rPr>
                <w:rFonts w:ascii="Arial" w:cs="Arial" w:eastAsia="Arial" w:hAnsi="Arial"/>
                <w:color w:val="5F5E5A"/>
                <w:sz w:val="16"/>
                <w:szCs w:val="16"/>
              </w:rPr>
              <w:t xml:space="preserve">① 박닌성 스마트시티 프로젝트 ② 2030년까지 세계 상위 50위 달성 목표 ③ 계획 단계 ④ 박닌성 정부 주도 ⑤ 2030년까지 디지털 전환 중심의 스마트시티 구현. 마스터플랜 ID: VN-SMART-2025</w:t>
            </w:r>
          </w:p>
        </w:tc>
        <w:tc>
          <w:tcPr>
            <w:tcW w:type="dxa" w:w="18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r>
              <w:rPr>
                <w:rFonts w:ascii="Arial" w:cs="Arial" w:eastAsia="Arial" w:hAnsi="Arial"/>
                <w:color w:val="185FA5"/>
                <w:sz w:val="17"/>
                <w:szCs w:val="17"/>
              </w:rPr>
              <w:t xml:space="preserve">The Star</w:t>
            </w:r>
          </w:p>
        </w:tc>
        <w:tc>
          <w:tcPr>
            <w:tcW w:type="dxa" w:w="1300"/>
            <w:tcBorders>
              <w:top w:val="single" w:color="DDDDDD" w:sz="1"/>
              <w:left w:val="single" w:color="DDDDDD" w:sz="1"/>
              <w:bottom w:val="single" w:color="DDDDDD" w:sz="1"/>
              <w:right w:val="single" w:color="DDDDDD" w:sz="1"/>
            </w:tcBorders>
            <w:shd w:fill="FFFFFF" w:val="clear"/>
            <w:tcMar>
              <w:top w:type="dxa" w:w="100"/>
              <w:left w:type="dxa" w:w="150"/>
              <w:bottom w:type="dxa" w:w="100"/>
              <w:right w:type="dxa" w:w="150"/>
            </w:tcMar>
          </w:tcPr>
          <w:p>
            <w:pPr>
              <w:jc w:val="center"/>
            </w:pPr>
            <w:r>
              <w:rPr>
                <w:rFonts w:ascii="Arial" w:cs="Arial" w:eastAsia="Arial" w:hAnsi="Arial"/>
                <w:color w:val="5F5E5A"/>
                <w:sz w:val="17"/>
                <w:szCs w:val="17"/>
              </w:rPr>
              <w:t xml:space="preserve">2026-08-31</w:t>
            </w:r>
          </w:p>
        </w:tc>
      </w:tr>
    </w:tbl>
    <w:p>
      <w:pPr>
        <w:spacing w:after="160"/>
      </w:pPr>
      <w:r>
        <w:t xml:space="preserve"/>
      </w:r>
    </w:p>
    <w:p>
      <w:pPr>
        <w:pBdr>
          <w:bottom w:val="single" w:color="1976D2" w:sz="4" w:space="1"/>
        </w:pBdr>
        <w:spacing w:after="160" w:before="160"/>
      </w:pPr>
    </w:p>
    <w:p>
      <w:pPr>
        <w:spacing w:after="160"/>
      </w:pPr>
      <w:r>
        <w:t xml:space="preserve"/>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sz w:val="32"/>
      <w:szCs w:val="32"/>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 w:type="paragraph" w:styleId="Heading3">
    <w:name w:val="Heading 3"/>
    <w:basedOn w:val="Normal"/>
    <w:next w:val="Normal"/>
    <w:qFormat/>
    <w:pPr>
      <w:spacing w:after="80" w:before="18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2026-09-05T15:27:33.767Z</dcterms:created>
  <dcterms:modified xsi:type="dcterms:W3CDTF">2026-09-05T15:27:33.767Z</dcterms:modified>
</cp:coreProperties>
</file>

<file path=docProps/custom.xml><?xml version="1.0" encoding="utf-8"?>
<Properties xmlns="http://schemas.openxmlformats.org/officeDocument/2006/custom-properties" xmlns:vt="http://schemas.openxmlformats.org/officeDocument/2006/docPropsVTypes"/>
</file>