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cc843740e909005d15ead1461c36f0d538bb12d"/>
    <w:p>
      <w:pPr>
        <w:pStyle w:val="Heading1"/>
      </w:pPr>
      <w:r>
        <w:t xml:space="preserve">Non-Functional Requirements Document (NFRD)</w:t>
      </w:r>
    </w:p>
    <w:bookmarkStart w:id="20" w:name="document-purpose"/>
    <w:p>
      <w:pPr>
        <w:pStyle w:val="Heading2"/>
      </w:pPr>
      <w:r>
        <w:t xml:space="preserve">1. Document Purpose</w:t>
      </w:r>
    </w:p>
    <w:p>
      <w:pPr>
        <w:pStyle w:val="FirstParagraph"/>
      </w:pPr>
      <w:r>
        <w:t xml:space="preserve">This Non-Functional Requirements Document (NFRD) defines the</w:t>
      </w:r>
      <w:r>
        <w:t xml:space="preserve"> </w:t>
      </w:r>
      <w:r>
        <w:rPr>
          <w:b/>
          <w:bCs/>
        </w:rPr>
        <w:t xml:space="preserve">quality attributes, constraints, and operational characteristics</w:t>
      </w:r>
      <w:r>
        <w:t xml:space="preserve"> </w:t>
      </w:r>
      <w:r>
        <w:t xml:space="preserve">of the User Management System (UMS). These requirements describe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system must perform rather than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it must do.</w:t>
      </w:r>
    </w:p>
    <w:p>
      <w:pPr>
        <w:pStyle w:val="BodyText"/>
      </w:pPr>
      <w:r>
        <w:t xml:space="preserve">This document complements the BRD and FRD and is critical for architectural decisions, system design, and operational readiness.</w:t>
      </w:r>
    </w:p>
    <w:p>
      <w:r>
        <w:pict>
          <v:rect style="width:0;height:1.5pt" o:hralign="center" o:hrstd="t" o:hr="t"/>
        </w:pict>
      </w:r>
    </w:p>
    <w:bookmarkEnd w:id="20"/>
    <w:bookmarkStart w:id="21" w:name="quality-attribute-overview"/>
    <w:p>
      <w:pPr>
        <w:pStyle w:val="Heading2"/>
      </w:pPr>
      <w:r>
        <w:t xml:space="preserve">2. Quality Attribute Overview</w:t>
      </w:r>
    </w:p>
    <w:p>
      <w:pPr>
        <w:pStyle w:val="FirstParagraph"/>
      </w:pPr>
      <w:r>
        <w:t xml:space="preserve">The User Management System must meet enterprise-grade expectations for:</w:t>
      </w:r>
      <w:r>
        <w:t xml:space="preserve"> </w:t>
      </w:r>
      <w:r>
        <w:t xml:space="preserve">- Security</w:t>
      </w:r>
      <w:r>
        <w:t xml:space="preserve"> </w:t>
      </w:r>
      <w:r>
        <w:t xml:space="preserve">- Performance</w:t>
      </w:r>
      <w:r>
        <w:t xml:space="preserve"> </w:t>
      </w:r>
      <w:r>
        <w:t xml:space="preserve">- Scalability</w:t>
      </w:r>
      <w:r>
        <w:t xml:space="preserve"> </w:t>
      </w:r>
      <w:r>
        <w:t xml:space="preserve">- Availability &amp; Reliability</w:t>
      </w:r>
      <w:r>
        <w:t xml:space="preserve"> </w:t>
      </w:r>
      <w:r>
        <w:t xml:space="preserve">- Maintainability</w:t>
      </w:r>
      <w:r>
        <w:t xml:space="preserve"> </w:t>
      </w:r>
      <w:r>
        <w:t xml:space="preserve">- Observability</w:t>
      </w:r>
      <w:r>
        <w:t xml:space="preserve"> </w:t>
      </w:r>
      <w:r>
        <w:t xml:space="preserve">- Compliance</w:t>
      </w:r>
    </w:p>
    <w:p>
      <w:r>
        <w:pict>
          <v:rect style="width:0;height:1.5pt" o:hralign="center" o:hrstd="t" o:hr="t"/>
        </w:pict>
      </w:r>
    </w:p>
    <w:bookmarkEnd w:id="21"/>
    <w:bookmarkStart w:id="25" w:name="security-requirements"/>
    <w:p>
      <w:pPr>
        <w:pStyle w:val="Heading2"/>
      </w:pPr>
      <w:r>
        <w:t xml:space="preserve">3. Security Requirements</w:t>
      </w:r>
    </w:p>
    <w:bookmarkStart w:id="22" w:name="data-security"/>
    <w:p>
      <w:pPr>
        <w:pStyle w:val="Heading3"/>
      </w:pPr>
      <w:r>
        <w:t xml:space="preserve">3.1 Data Security</w:t>
      </w:r>
    </w:p>
    <w:p>
      <w:pPr>
        <w:pStyle w:val="FirstParagraph"/>
      </w:pPr>
      <w:r>
        <w:rPr>
          <w:b/>
          <w:bCs/>
        </w:rPr>
        <w:t xml:space="preserve">NFR-SEC-01</w:t>
      </w:r>
      <w:r>
        <w:t xml:space="preserve">: All data in transit shall be encrypted using industry-standard protocols.</w:t>
      </w:r>
    </w:p>
    <w:p>
      <w:pPr>
        <w:pStyle w:val="BodyText"/>
      </w:pPr>
      <w:r>
        <w:rPr>
          <w:b/>
          <w:bCs/>
        </w:rPr>
        <w:t xml:space="preserve">NFR-SEC-02</w:t>
      </w:r>
      <w:r>
        <w:t xml:space="preserve">: Sensitive data at rest shall be encrypted.</w:t>
      </w:r>
    </w:p>
    <w:p>
      <w:pPr>
        <w:pStyle w:val="BodyText"/>
      </w:pPr>
      <w:r>
        <w:rPr>
          <w:b/>
          <w:bCs/>
        </w:rPr>
        <w:t xml:space="preserve">NFR-SEC-03</w:t>
      </w:r>
      <w:r>
        <w:t xml:space="preserve">: Credentials and secrets shall never be stored in plain text.</w:t>
      </w:r>
    </w:p>
    <w:bookmarkEnd w:id="22"/>
    <w:bookmarkStart w:id="23" w:name="access-security"/>
    <w:p>
      <w:pPr>
        <w:pStyle w:val="Heading3"/>
      </w:pPr>
      <w:r>
        <w:t xml:space="preserve">3.2 Access Security</w:t>
      </w:r>
    </w:p>
    <w:p>
      <w:pPr>
        <w:pStyle w:val="FirstParagraph"/>
      </w:pPr>
      <w:r>
        <w:rPr>
          <w:b/>
          <w:bCs/>
        </w:rPr>
        <w:t xml:space="preserve">NFR-SEC-04</w:t>
      </w:r>
      <w:r>
        <w:t xml:space="preserve">: The system shall enforce least-privilege access.</w:t>
      </w:r>
    </w:p>
    <w:p>
      <w:pPr>
        <w:pStyle w:val="BodyText"/>
      </w:pPr>
      <w:r>
        <w:rPr>
          <w:b/>
          <w:bCs/>
        </w:rPr>
        <w:t xml:space="preserve">NFR-SEC-05</w:t>
      </w:r>
      <w:r>
        <w:t xml:space="preserve">: Administrative actions shall require elevated privileges.</w:t>
      </w:r>
    </w:p>
    <w:p>
      <w:pPr>
        <w:pStyle w:val="BodyText"/>
      </w:pPr>
      <w:r>
        <w:rPr>
          <w:b/>
          <w:bCs/>
        </w:rPr>
        <w:t xml:space="preserve">NFR-SEC-06</w:t>
      </w:r>
      <w:r>
        <w:t xml:space="preserve">: The system shall protect against common security threats (e.g., brute force, credential stuffing).</w:t>
      </w:r>
    </w:p>
    <w:bookmarkEnd w:id="23"/>
    <w:bookmarkStart w:id="24" w:name="compliance-standards"/>
    <w:p>
      <w:pPr>
        <w:pStyle w:val="Heading3"/>
      </w:pPr>
      <w:r>
        <w:t xml:space="preserve">3.3 Compliance &amp; Standards</w:t>
      </w:r>
    </w:p>
    <w:p>
      <w:pPr>
        <w:pStyle w:val="FirstParagraph"/>
      </w:pPr>
      <w:r>
        <w:rPr>
          <w:b/>
          <w:bCs/>
        </w:rPr>
        <w:t xml:space="preserve">NFR-SEC-07</w:t>
      </w:r>
      <w:r>
        <w:t xml:space="preserve">: The system shall align with OWASP Top 10 security risks.</w:t>
      </w:r>
    </w:p>
    <w:p>
      <w:pPr>
        <w:pStyle w:val="BodyText"/>
      </w:pPr>
      <w:r>
        <w:rPr>
          <w:b/>
          <w:bCs/>
        </w:rPr>
        <w:t xml:space="preserve">NFR-SEC-08</w:t>
      </w:r>
      <w:r>
        <w:t xml:space="preserve">: The system shall support compliance with relevant regulatory requirements.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erformance-requirements"/>
    <w:p>
      <w:pPr>
        <w:pStyle w:val="Heading2"/>
      </w:pPr>
      <w:r>
        <w:t xml:space="preserve">4. Performance Requirements</w:t>
      </w:r>
    </w:p>
    <w:p>
      <w:pPr>
        <w:pStyle w:val="FirstParagraph"/>
      </w:pPr>
      <w:r>
        <w:rPr>
          <w:b/>
          <w:bCs/>
        </w:rPr>
        <w:t xml:space="preserve">NFR-PER-01</w:t>
      </w:r>
      <w:r>
        <w:t xml:space="preserve">: Authentication requests shall complete within defined SLA thresholds under normal load.</w:t>
      </w:r>
    </w:p>
    <w:p>
      <w:pPr>
        <w:pStyle w:val="BodyText"/>
      </w:pPr>
      <w:r>
        <w:rPr>
          <w:b/>
          <w:bCs/>
        </w:rPr>
        <w:t xml:space="preserve">NFR-PER-02</w:t>
      </w:r>
      <w:r>
        <w:t xml:space="preserve">: Authorization checks shall not introduce noticeable latency to consuming applications.</w:t>
      </w:r>
    </w:p>
    <w:p>
      <w:pPr>
        <w:pStyle w:val="BodyText"/>
      </w:pPr>
      <w:r>
        <w:rPr>
          <w:b/>
          <w:bCs/>
        </w:rPr>
        <w:t xml:space="preserve">NFR-PER-03</w:t>
      </w:r>
      <w:r>
        <w:t xml:space="preserve">: The system shall support concurrent authentication and authorization requests.</w:t>
      </w:r>
    </w:p>
    <w:p>
      <w:r>
        <w:pict>
          <v:rect style="width:0;height:1.5pt" o:hralign="center" o:hrstd="t" o:hr="t"/>
        </w:pict>
      </w:r>
    </w:p>
    <w:bookmarkEnd w:id="26"/>
    <w:bookmarkStart w:id="27" w:name="scalability-requirements"/>
    <w:p>
      <w:pPr>
        <w:pStyle w:val="Heading2"/>
      </w:pPr>
      <w:r>
        <w:t xml:space="preserve">5. Scalability Requirements</w:t>
      </w:r>
    </w:p>
    <w:p>
      <w:pPr>
        <w:pStyle w:val="FirstParagraph"/>
      </w:pPr>
      <w:r>
        <w:rPr>
          <w:b/>
          <w:bCs/>
        </w:rPr>
        <w:t xml:space="preserve">NFR-SCA-01</w:t>
      </w:r>
      <w:r>
        <w:t xml:space="preserve">: The system shall scale horizontally to support growth in users and applications.</w:t>
      </w:r>
    </w:p>
    <w:p>
      <w:pPr>
        <w:pStyle w:val="BodyText"/>
      </w:pPr>
      <w:r>
        <w:rPr>
          <w:b/>
          <w:bCs/>
        </w:rPr>
        <w:t xml:space="preserve">NFR-SCA-02</w:t>
      </w:r>
      <w:r>
        <w:t xml:space="preserve">: The system shall handle spikes in authentication traffic gracefully.</w:t>
      </w:r>
    </w:p>
    <w:p>
      <w:pPr>
        <w:pStyle w:val="BodyText"/>
      </w:pPr>
      <w:r>
        <w:rPr>
          <w:b/>
          <w:bCs/>
        </w:rPr>
        <w:t xml:space="preserve">NFR-SCA-03</w:t>
      </w:r>
      <w:r>
        <w:t xml:space="preserve">: The system shall support multi-tenant scalability where applicable.</w:t>
      </w:r>
    </w:p>
    <w:p>
      <w:r>
        <w:pict>
          <v:rect style="width:0;height:1.5pt" o:hralign="center" o:hrstd="t" o:hr="t"/>
        </w:pict>
      </w:r>
    </w:p>
    <w:bookmarkEnd w:id="27"/>
    <w:bookmarkStart w:id="28" w:name="availability-reliability"/>
    <w:p>
      <w:pPr>
        <w:pStyle w:val="Heading2"/>
      </w:pPr>
      <w:r>
        <w:t xml:space="preserve">6. Availability &amp; Reliability</w:t>
      </w:r>
    </w:p>
    <w:p>
      <w:pPr>
        <w:pStyle w:val="FirstParagraph"/>
      </w:pPr>
      <w:r>
        <w:rPr>
          <w:b/>
          <w:bCs/>
        </w:rPr>
        <w:t xml:space="preserve">NFR-AVL-01</w:t>
      </w:r>
      <w:r>
        <w:t xml:space="preserve">: The system shall support high availability deployment.</w:t>
      </w:r>
    </w:p>
    <w:p>
      <w:pPr>
        <w:pStyle w:val="BodyText"/>
      </w:pPr>
      <w:r>
        <w:rPr>
          <w:b/>
          <w:bCs/>
        </w:rPr>
        <w:t xml:space="preserve">NFR-AVL-02</w:t>
      </w:r>
      <w:r>
        <w:t xml:space="preserve">: The system shall minimize single points of failure.</w:t>
      </w:r>
    </w:p>
    <w:p>
      <w:pPr>
        <w:pStyle w:val="BodyText"/>
      </w:pPr>
      <w:r>
        <w:rPr>
          <w:b/>
          <w:bCs/>
        </w:rPr>
        <w:t xml:space="preserve">NFR-AVL-03</w:t>
      </w:r>
      <w:r>
        <w:t xml:space="preserve">: The system shall recover gracefully from component failures.</w:t>
      </w:r>
    </w:p>
    <w:p>
      <w:pPr>
        <w:pStyle w:val="BodyText"/>
      </w:pPr>
      <w:r>
        <w:rPr>
          <w:b/>
          <w:bCs/>
        </w:rPr>
        <w:t xml:space="preserve">NFR-AVL-04</w:t>
      </w:r>
      <w:r>
        <w:t xml:space="preserve">: The system shall support disaster recovery objectives.</w:t>
      </w:r>
    </w:p>
    <w:p>
      <w:r>
        <w:pict>
          <v:rect style="width:0;height:1.5pt" o:hralign="center" o:hrstd="t" o:hr="t"/>
        </w:pict>
      </w:r>
    </w:p>
    <w:bookmarkEnd w:id="28"/>
    <w:bookmarkStart w:id="29" w:name="maintainability-extensibility"/>
    <w:p>
      <w:pPr>
        <w:pStyle w:val="Heading2"/>
      </w:pPr>
      <w:r>
        <w:t xml:space="preserve">7. Maintainability &amp; Extensibility</w:t>
      </w:r>
    </w:p>
    <w:p>
      <w:pPr>
        <w:pStyle w:val="FirstParagraph"/>
      </w:pPr>
      <w:r>
        <w:rPr>
          <w:b/>
          <w:bCs/>
        </w:rPr>
        <w:t xml:space="preserve">NFR-MNT-01</w:t>
      </w:r>
      <w:r>
        <w:t xml:space="preserve">: The system shall support modular design to enable independent evolution of components.</w:t>
      </w:r>
    </w:p>
    <w:p>
      <w:pPr>
        <w:pStyle w:val="BodyText"/>
      </w:pPr>
      <w:r>
        <w:rPr>
          <w:b/>
          <w:bCs/>
        </w:rPr>
        <w:t xml:space="preserve">NFR-MNT-02</w:t>
      </w:r>
      <w:r>
        <w:t xml:space="preserve">: The system shall allow configuration changes without redeployment where possible.</w:t>
      </w:r>
    </w:p>
    <w:p>
      <w:pPr>
        <w:pStyle w:val="BodyText"/>
      </w:pPr>
      <w:r>
        <w:rPr>
          <w:b/>
          <w:bCs/>
        </w:rPr>
        <w:t xml:space="preserve">NFR-MNT-03</w:t>
      </w:r>
      <w:r>
        <w:t xml:space="preserve">: The system shall support backward-compatible API evolution.</w:t>
      </w:r>
    </w:p>
    <w:p>
      <w:r>
        <w:pict>
          <v:rect style="width:0;height:1.5pt" o:hralign="center" o:hrstd="t" o:hr="t"/>
        </w:pict>
      </w:r>
    </w:p>
    <w:bookmarkEnd w:id="29"/>
    <w:bookmarkStart w:id="33" w:name="observability-operations"/>
    <w:p>
      <w:pPr>
        <w:pStyle w:val="Heading2"/>
      </w:pPr>
      <w:r>
        <w:t xml:space="preserve">8. Observability &amp; Operations</w:t>
      </w:r>
    </w:p>
    <w:bookmarkStart w:id="30" w:name="logging"/>
    <w:p>
      <w:pPr>
        <w:pStyle w:val="Heading3"/>
      </w:pPr>
      <w:r>
        <w:t xml:space="preserve">8.1 Logging</w:t>
      </w:r>
    </w:p>
    <w:p>
      <w:pPr>
        <w:pStyle w:val="FirstParagraph"/>
      </w:pPr>
      <w:r>
        <w:rPr>
          <w:b/>
          <w:bCs/>
        </w:rPr>
        <w:t xml:space="preserve">NFR-OBS-01</w:t>
      </w:r>
      <w:r>
        <w:t xml:space="preserve">: The system shall produce structured logs.</w:t>
      </w:r>
    </w:p>
    <w:p>
      <w:pPr>
        <w:pStyle w:val="BodyText"/>
      </w:pPr>
      <w:r>
        <w:rPr>
          <w:b/>
          <w:bCs/>
        </w:rPr>
        <w:t xml:space="preserve">NFR-OBS-02</w:t>
      </w:r>
      <w:r>
        <w:t xml:space="preserve">: Logs shall include correlation identifiers for traceability.</w:t>
      </w:r>
    </w:p>
    <w:bookmarkEnd w:id="30"/>
    <w:bookmarkStart w:id="31" w:name="monitoring"/>
    <w:p>
      <w:pPr>
        <w:pStyle w:val="Heading3"/>
      </w:pPr>
      <w:r>
        <w:t xml:space="preserve">8.2 Monitoring</w:t>
      </w:r>
    </w:p>
    <w:p>
      <w:pPr>
        <w:pStyle w:val="FirstParagraph"/>
      </w:pPr>
      <w:r>
        <w:rPr>
          <w:b/>
          <w:bCs/>
        </w:rPr>
        <w:t xml:space="preserve">NFR-OBS-03</w:t>
      </w:r>
      <w:r>
        <w:t xml:space="preserve">: The system shall expose health check endpoints.</w:t>
      </w:r>
    </w:p>
    <w:p>
      <w:pPr>
        <w:pStyle w:val="BodyText"/>
      </w:pPr>
      <w:r>
        <w:rPr>
          <w:b/>
          <w:bCs/>
        </w:rPr>
        <w:t xml:space="preserve">NFR-OBS-04</w:t>
      </w:r>
      <w:r>
        <w:t xml:space="preserve">: The system shall expose metrics for key operational indicators.</w:t>
      </w:r>
    </w:p>
    <w:bookmarkEnd w:id="31"/>
    <w:bookmarkStart w:id="32" w:name="alerting"/>
    <w:p>
      <w:pPr>
        <w:pStyle w:val="Heading3"/>
      </w:pPr>
      <w:r>
        <w:t xml:space="preserve">8.3 Alerting</w:t>
      </w:r>
    </w:p>
    <w:p>
      <w:pPr>
        <w:pStyle w:val="FirstParagraph"/>
      </w:pPr>
      <w:r>
        <w:rPr>
          <w:b/>
          <w:bCs/>
        </w:rPr>
        <w:t xml:space="preserve">NFR-OBS-05</w:t>
      </w:r>
      <w:r>
        <w:t xml:space="preserve">: The system shall support alerting for critical failures and anomalies.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usability-requirements"/>
    <w:p>
      <w:pPr>
        <w:pStyle w:val="Heading2"/>
      </w:pPr>
      <w:r>
        <w:t xml:space="preserve">9. Usability Requirements</w:t>
      </w:r>
    </w:p>
    <w:p>
      <w:pPr>
        <w:pStyle w:val="FirstParagraph"/>
      </w:pPr>
      <w:r>
        <w:rPr>
          <w:b/>
          <w:bCs/>
        </w:rPr>
        <w:t xml:space="preserve">NFR-USA-01</w:t>
      </w:r>
      <w:r>
        <w:t xml:space="preserve">: Administrative interfaces shall be intuitive and role-appropriate.</w:t>
      </w:r>
    </w:p>
    <w:p>
      <w:pPr>
        <w:pStyle w:val="BodyText"/>
      </w:pPr>
      <w:r>
        <w:rPr>
          <w:b/>
          <w:bCs/>
        </w:rPr>
        <w:t xml:space="preserve">NFR-USA-02</w:t>
      </w:r>
      <w:r>
        <w:t xml:space="preserve">: Error messages shall be clear and actionable without exposing sensitive data.</w:t>
      </w:r>
    </w:p>
    <w:p>
      <w:r>
        <w:pict>
          <v:rect style="width:0;height:1.5pt" o:hralign="center" o:hrstd="t" o:hr="t"/>
        </w:pict>
      </w:r>
    </w:p>
    <w:bookmarkEnd w:id="34"/>
    <w:bookmarkStart w:id="35" w:name="data-management-retention"/>
    <w:p>
      <w:pPr>
        <w:pStyle w:val="Heading2"/>
      </w:pPr>
      <w:r>
        <w:t xml:space="preserve">10. Data Management &amp; Retention</w:t>
      </w:r>
    </w:p>
    <w:p>
      <w:pPr>
        <w:pStyle w:val="FirstParagraph"/>
      </w:pPr>
      <w:r>
        <w:rPr>
          <w:b/>
          <w:bCs/>
        </w:rPr>
        <w:t xml:space="preserve">NFR-DAT-01</w:t>
      </w:r>
      <w:r>
        <w:t xml:space="preserve">: Audit logs shall be retained according to configurable retention policies.</w:t>
      </w:r>
    </w:p>
    <w:p>
      <w:pPr>
        <w:pStyle w:val="BodyText"/>
      </w:pPr>
      <w:r>
        <w:rPr>
          <w:b/>
          <w:bCs/>
        </w:rPr>
        <w:t xml:space="preserve">NFR-DAT-02</w:t>
      </w:r>
      <w:r>
        <w:t xml:space="preserve">: User data retention shall align with legal and compliance requirements.</w:t>
      </w:r>
    </w:p>
    <w:p>
      <w:r>
        <w:pict>
          <v:rect style="width:0;height:1.5pt" o:hralign="center" o:hrstd="t" o:hr="t"/>
        </w:pict>
      </w:r>
    </w:p>
    <w:bookmarkEnd w:id="35"/>
    <w:bookmarkStart w:id="36" w:name="interoperability"/>
    <w:p>
      <w:pPr>
        <w:pStyle w:val="Heading2"/>
      </w:pPr>
      <w:r>
        <w:t xml:space="preserve">11. Interoperability</w:t>
      </w:r>
    </w:p>
    <w:p>
      <w:pPr>
        <w:pStyle w:val="FirstParagraph"/>
      </w:pPr>
      <w:r>
        <w:rPr>
          <w:b/>
          <w:bCs/>
        </w:rPr>
        <w:t xml:space="preserve">NFR-INT-01</w:t>
      </w:r>
      <w:r>
        <w:t xml:space="preserve">: The system shall support standard identity and access management protocols.</w:t>
      </w:r>
    </w:p>
    <w:p>
      <w:pPr>
        <w:pStyle w:val="BodyText"/>
      </w:pPr>
      <w:r>
        <w:rPr>
          <w:b/>
          <w:bCs/>
        </w:rPr>
        <w:t xml:space="preserve">NFR-INT-02</w:t>
      </w:r>
      <w:r>
        <w:t xml:space="preserve">: APIs shall be versioned and backward compatible.</w:t>
      </w:r>
    </w:p>
    <w:p>
      <w:r>
        <w:pict>
          <v:rect style="width:0;height:1.5pt" o:hralign="center" o:hrstd="t" o:hr="t"/>
        </w:pict>
      </w:r>
    </w:p>
    <w:bookmarkEnd w:id="36"/>
    <w:bookmarkStart w:id="37" w:name="constraints"/>
    <w:p>
      <w:pPr>
        <w:pStyle w:val="Heading2"/>
      </w:pPr>
      <w:r>
        <w:t xml:space="preserve">12. Constraints</w:t>
      </w:r>
    </w:p>
    <w:p>
      <w:pPr>
        <w:pStyle w:val="Compact"/>
        <w:numPr>
          <w:ilvl w:val="0"/>
          <w:numId w:val="1001"/>
        </w:numPr>
      </w:pPr>
      <w:r>
        <w:t xml:space="preserve">Deployment environment constraints</w:t>
      </w:r>
    </w:p>
    <w:p>
      <w:pPr>
        <w:pStyle w:val="Compact"/>
        <w:numPr>
          <w:ilvl w:val="0"/>
          <w:numId w:val="1001"/>
        </w:numPr>
      </w:pPr>
      <w:r>
        <w:t xml:space="preserve">Budget and infrastructure limitations</w:t>
      </w:r>
    </w:p>
    <w:p>
      <w:pPr>
        <w:pStyle w:val="Compact"/>
        <w:numPr>
          <w:ilvl w:val="0"/>
          <w:numId w:val="1001"/>
        </w:numPr>
      </w:pPr>
      <w:r>
        <w:t xml:space="preserve">Organizational security policies</w:t>
      </w:r>
    </w:p>
    <w:p>
      <w:r>
        <w:pict>
          <v:rect style="width:0;height:1.5pt" o:hralign="center" o:hrstd="t" o:hr="t"/>
        </w:pict>
      </w:r>
    </w:p>
    <w:bookmarkEnd w:id="37"/>
    <w:bookmarkStart w:id="38" w:name="risks"/>
    <w:p>
      <w:pPr>
        <w:pStyle w:val="Heading2"/>
      </w:pPr>
      <w:r>
        <w:t xml:space="preserve">13. Risks</w:t>
      </w:r>
    </w:p>
    <w:p>
      <w:pPr>
        <w:pStyle w:val="Compact"/>
        <w:numPr>
          <w:ilvl w:val="0"/>
          <w:numId w:val="1002"/>
        </w:numPr>
      </w:pPr>
      <w:r>
        <w:t xml:space="preserve">Underestimating peak authentication loads</w:t>
      </w:r>
    </w:p>
    <w:p>
      <w:pPr>
        <w:pStyle w:val="Compact"/>
        <w:numPr>
          <w:ilvl w:val="0"/>
          <w:numId w:val="1002"/>
        </w:numPr>
      </w:pPr>
      <w:r>
        <w:t xml:space="preserve">Misalignment with evolving compliance standards</w:t>
      </w:r>
    </w:p>
    <w:p>
      <w:pPr>
        <w:pStyle w:val="Compact"/>
        <w:numPr>
          <w:ilvl w:val="0"/>
          <w:numId w:val="1002"/>
        </w:numPr>
      </w:pPr>
      <w:r>
        <w:t xml:space="preserve">Operational complexity due to integrations</w:t>
      </w:r>
    </w:p>
    <w:p>
      <w:r>
        <w:pict>
          <v:rect style="width:0;height:1.5pt" o:hralign="center" o:hrstd="t" o:hr="t"/>
        </w:pict>
      </w:r>
    </w:p>
    <w:bookmarkEnd w:id="38"/>
    <w:bookmarkStart w:id="39" w:name="acceptance-criteria"/>
    <w:p>
      <w:pPr>
        <w:pStyle w:val="Heading2"/>
      </w:pPr>
      <w:r>
        <w:t xml:space="preserve">14. Acceptance Criteria</w:t>
      </w:r>
    </w:p>
    <w:p>
      <w:pPr>
        <w:pStyle w:val="Compact"/>
        <w:numPr>
          <w:ilvl w:val="0"/>
          <w:numId w:val="1003"/>
        </w:numPr>
      </w:pPr>
      <w:r>
        <w:t xml:space="preserve">Non-functional requirements are measurable and testable.</w:t>
      </w:r>
    </w:p>
    <w:p>
      <w:pPr>
        <w:pStyle w:val="Compact"/>
        <w:numPr>
          <w:ilvl w:val="0"/>
          <w:numId w:val="1003"/>
        </w:numPr>
      </w:pPr>
      <w:r>
        <w:t xml:space="preserve">System meets defined SLAs under expected load.</w:t>
      </w:r>
    </w:p>
    <w:p>
      <w:pPr>
        <w:pStyle w:val="Compact"/>
        <w:numPr>
          <w:ilvl w:val="0"/>
          <w:numId w:val="1003"/>
        </w:numPr>
      </w:pPr>
      <w:r>
        <w:t xml:space="preserve">Security testing passes defined benchmarks.</w:t>
      </w:r>
    </w:p>
    <w:p>
      <w:r>
        <w:pict>
          <v:rect style="width:0;height:1.5pt" o:hralign="center" o:hrstd="t" o:hr="t"/>
        </w:pict>
      </w:r>
    </w:p>
    <w:bookmarkEnd w:id="39"/>
    <w:bookmarkStart w:id="40" w:name="approval"/>
    <w:p>
      <w:pPr>
        <w:pStyle w:val="Heading2"/>
      </w:pPr>
      <w:r>
        <w:t xml:space="preserve">15.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2026-02-09T10:34:48Z</dcterms:created>
  <dcterms:modified xsi:type="dcterms:W3CDTF">2026-02-09T10:34:48Z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