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68978">
      <w:pPr>
        <w:spacing w:line="520" w:lineRule="exact"/>
        <w:rPr>
          <w:rFonts w:ascii="仿宋_GB2312" w:eastAsia="仿宋_GB2312"/>
          <w:color w:val="000000"/>
          <w:u w:val="single"/>
        </w:rPr>
      </w:pPr>
    </w:p>
    <w:p w14:paraId="715A86DE">
      <w:pPr>
        <w:spacing w:line="520" w:lineRule="exact"/>
        <w:rPr>
          <w:rFonts w:ascii="仿宋_GB2312" w:eastAsia="仿宋_GB2312"/>
          <w:color w:val="000000"/>
          <w:u w:val="single"/>
        </w:rPr>
      </w:pPr>
    </w:p>
    <w:p w14:paraId="65BCC1B5"/>
    <w:p w14:paraId="147AC37A">
      <w:pPr>
        <w:pStyle w:val="4"/>
        <w:jc w:val="center"/>
        <w:rPr>
          <w:rFonts w:ascii="楷体_GB2312" w:eastAsia="楷体_GB2312"/>
          <w:b/>
          <w:color w:val="000000"/>
          <w:sz w:val="30"/>
          <w:u w:val="single"/>
        </w:rPr>
      </w:pPr>
      <w:bookmarkStart w:id="0" w:name="_Toc14151"/>
      <w:bookmarkStart w:id="1" w:name="_Toc12634"/>
      <w:bookmarkStart w:id="2" w:name="_Toc28720"/>
      <w:r>
        <w:rPr>
          <w:rFonts w:hint="eastAsia" w:ascii="隶书" w:eastAsia="隶书"/>
          <w:color w:val="000000"/>
          <w:sz w:val="72"/>
        </w:rPr>
        <w:t>参赛作品说明书</w:t>
      </w:r>
      <w:bookmarkEnd w:id="0"/>
      <w:bookmarkEnd w:id="1"/>
      <w:bookmarkEnd w:id="2"/>
    </w:p>
    <w:p w14:paraId="674684D6">
      <w:pPr>
        <w:spacing w:line="520" w:lineRule="exact"/>
        <w:rPr>
          <w:rFonts w:ascii="楷体_GB2312" w:eastAsia="楷体_GB2312"/>
          <w:b/>
          <w:color w:val="000000"/>
          <w:sz w:val="30"/>
        </w:rPr>
      </w:pPr>
    </w:p>
    <w:p w14:paraId="1B5FAE22">
      <w:pPr>
        <w:spacing w:line="520" w:lineRule="exact"/>
        <w:ind w:firstLine="3110" w:firstLineChars="0"/>
        <w:rPr>
          <w:rFonts w:hint="eastAsia" w:ascii="楷体_GB2312" w:eastAsia="楷体_GB2312"/>
          <w:b/>
          <w:color w:val="000000"/>
          <w:sz w:val="30"/>
        </w:rPr>
      </w:pPr>
      <w:r>
        <w:rPr>
          <w:rFonts w:hint="eastAsia" w:ascii="楷体_GB2312" w:eastAsia="楷体_GB2312"/>
          <w:b/>
          <w:color w:val="000000"/>
          <w:sz w:val="30"/>
        </w:rPr>
        <w:t>参赛者姓名</w:t>
      </w:r>
    </w:p>
    <w:p w14:paraId="746E88DC">
      <w:pPr>
        <w:spacing w:line="520" w:lineRule="exact"/>
        <w:ind w:firstLine="2409" w:firstLineChars="800"/>
        <w:rPr>
          <w:rFonts w:hint="default" w:ascii="楷体_GB2312" w:eastAsia="楷体_GB2312"/>
          <w:b/>
          <w:color w:val="000000"/>
          <w:sz w:val="30"/>
          <w:u w:val="single"/>
          <w:lang w:val="en-US" w:eastAsia="zh-CN"/>
        </w:rPr>
      </w:pPr>
      <w:r>
        <w:rPr>
          <w:rFonts w:ascii="楷体_GB2312" w:eastAsia="楷体_GB2312"/>
          <w:b/>
          <w:color w:val="000000"/>
          <w:sz w:val="30"/>
          <w:u w:val="single"/>
        </w:rPr>
        <w:t xml:space="preserve">  </w:t>
      </w:r>
      <w:r>
        <w:rPr>
          <w:rFonts w:hint="eastAsia" w:ascii="楷体_GB2312" w:eastAsia="楷体_GB2312"/>
          <w:b/>
          <w:color w:val="000000"/>
          <w:sz w:val="30"/>
          <w:u w:val="single"/>
          <w:lang w:val="en-US" w:eastAsia="zh-CN"/>
        </w:rPr>
        <w:t xml:space="preserve">    </w:t>
      </w:r>
      <w:r>
        <w:rPr>
          <w:rFonts w:ascii="楷体_GB2312" w:eastAsia="楷体_GB2312"/>
          <w:b/>
          <w:color w:val="000000"/>
          <w:sz w:val="30"/>
          <w:u w:val="single"/>
        </w:rPr>
        <w:t xml:space="preserve"> </w:t>
      </w:r>
      <w:r>
        <w:rPr>
          <w:rFonts w:hint="eastAsia" w:ascii="楷体_GB2312" w:eastAsia="楷体_GB2312"/>
          <w:b/>
          <w:color w:val="000000"/>
          <w:sz w:val="30"/>
          <w:u w:val="single"/>
          <w:lang w:val="en-US" w:eastAsia="zh-CN"/>
        </w:rPr>
        <w:t xml:space="preserve"> 李明            </w:t>
      </w:r>
    </w:p>
    <w:p w14:paraId="43B9380F">
      <w:pPr>
        <w:spacing w:line="520" w:lineRule="exact"/>
        <w:ind w:firstLine="2409" w:firstLineChars="800"/>
        <w:rPr>
          <w:rFonts w:hint="default" w:ascii="楷体_GB2312" w:eastAsia="楷体_GB2312"/>
          <w:b/>
          <w:color w:val="000000"/>
          <w:sz w:val="30"/>
          <w:u w:val="single"/>
          <w:lang w:val="en-US" w:eastAsia="zh-CN"/>
        </w:rPr>
      </w:pPr>
      <w:r>
        <w:rPr>
          <w:rFonts w:hint="eastAsia" w:ascii="楷体_GB2312" w:eastAsia="楷体_GB2312"/>
          <w:b/>
          <w:color w:val="000000"/>
          <w:sz w:val="30"/>
          <w:u w:val="single"/>
          <w:lang w:val="en-US" w:eastAsia="zh-CN"/>
        </w:rPr>
        <w:t xml:space="preserve">       刘宇翔           </w:t>
      </w:r>
    </w:p>
    <w:p w14:paraId="199EB8B6">
      <w:pPr>
        <w:spacing w:line="520" w:lineRule="exact"/>
        <w:ind w:firstLine="2409" w:firstLineChars="800"/>
        <w:rPr>
          <w:rFonts w:ascii="楷体_GB2312" w:eastAsia="楷体_GB2312"/>
          <w:b/>
          <w:color w:val="000000"/>
          <w:sz w:val="30"/>
          <w:u w:val="single"/>
        </w:rPr>
      </w:pPr>
      <w:r>
        <w:rPr>
          <w:rFonts w:hint="eastAsia" w:ascii="楷体_GB2312" w:eastAsia="楷体_GB2312"/>
          <w:b/>
          <w:color w:val="000000"/>
          <w:sz w:val="30"/>
          <w:u w:val="single"/>
          <w:lang w:val="en-US" w:eastAsia="zh-CN"/>
        </w:rPr>
        <w:t xml:space="preserve">       侯雨康   </w:t>
      </w:r>
      <w:r>
        <w:rPr>
          <w:rFonts w:hint="eastAsia" w:ascii="楷体_GB2312" w:eastAsia="楷体_GB2312"/>
          <w:b/>
          <w:color w:val="000000"/>
          <w:sz w:val="30"/>
          <w:szCs w:val="30"/>
          <w:u w:val="single"/>
        </w:rPr>
        <w:t xml:space="preserve">    </w:t>
      </w:r>
      <w:r>
        <w:rPr>
          <w:rFonts w:hint="eastAsia" w:ascii="楷体_GB2312" w:eastAsia="楷体_GB2312"/>
          <w:b/>
          <w:color w:val="000000"/>
          <w:sz w:val="30"/>
          <w:u w:val="single"/>
        </w:rPr>
        <w:t xml:space="preserve">    </w:t>
      </w:r>
    </w:p>
    <w:p w14:paraId="2EE14461">
      <w:pPr>
        <w:spacing w:line="520" w:lineRule="exact"/>
        <w:ind w:left="0" w:leftChars="0" w:firstLine="602" w:firstLineChars="200"/>
        <w:rPr>
          <w:rFonts w:ascii="隶书" w:eastAsia="隶书"/>
          <w:b/>
          <w:bCs/>
          <w:color w:val="000000"/>
          <w:sz w:val="30"/>
        </w:rPr>
      </w:pPr>
      <w:r>
        <w:rPr>
          <w:rFonts w:hint="eastAsia" w:ascii="隶书" w:eastAsia="隶书"/>
          <w:b/>
          <w:bCs/>
          <w:color w:val="000000"/>
          <w:sz w:val="30"/>
        </w:rPr>
        <w:t>类别：</w:t>
      </w:r>
    </w:p>
    <w:p w14:paraId="606D39F0">
      <w:pPr>
        <w:spacing w:line="520" w:lineRule="exact"/>
        <w:ind w:firstLine="720" w:firstLineChars="300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  <w:lang w:eastAsia="zh-CN"/>
        </w:rPr>
        <w:t>☑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hint="eastAsia" w:ascii="宋体" w:hAnsi="宋体"/>
          <w:color w:val="000000"/>
          <w:lang w:val="en-US" w:eastAsia="zh-CN"/>
        </w:rPr>
        <w:t>赛题一</w:t>
      </w:r>
      <w:r>
        <w:rPr>
          <w:rFonts w:hint="eastAsia" w:ascii="宋体" w:hAnsi="宋体"/>
          <w:color w:val="000000"/>
        </w:rPr>
        <w:t xml:space="preserve"> </w:t>
      </w:r>
    </w:p>
    <w:p w14:paraId="18342A9B">
      <w:pPr>
        <w:spacing w:line="520" w:lineRule="exact"/>
        <w:ind w:left="1080"/>
        <w:rPr>
          <w:rFonts w:ascii="楷体_GB2312" w:eastAsia="楷体_GB2312"/>
          <w:color w:val="000000"/>
          <w:sz w:val="28"/>
        </w:rPr>
      </w:pPr>
    </w:p>
    <w:p w14:paraId="08004150">
      <w:pPr>
        <w:spacing w:line="520" w:lineRule="exact"/>
        <w:ind w:left="1080"/>
        <w:rPr>
          <w:rFonts w:ascii="楷体_GB2312" w:eastAsia="楷体_GB2312"/>
          <w:color w:val="000000"/>
          <w:sz w:val="28"/>
        </w:rPr>
      </w:pPr>
    </w:p>
    <w:p w14:paraId="2BCF1B78">
      <w:pPr>
        <w:spacing w:line="520" w:lineRule="exact"/>
        <w:ind w:left="1080"/>
        <w:rPr>
          <w:rFonts w:ascii="楷体_GB2312" w:eastAsia="楷体_GB2312"/>
          <w:color w:val="000000"/>
          <w:sz w:val="28"/>
        </w:rPr>
      </w:pPr>
    </w:p>
    <w:p w14:paraId="079D9D8B">
      <w:pPr>
        <w:spacing w:line="520" w:lineRule="exact"/>
        <w:ind w:left="1080"/>
        <w:rPr>
          <w:rFonts w:ascii="楷体_GB2312" w:eastAsia="楷体_GB2312"/>
          <w:color w:val="000000"/>
          <w:sz w:val="28"/>
        </w:rPr>
      </w:pPr>
    </w:p>
    <w:p w14:paraId="2F6F1B94">
      <w:pPr>
        <w:spacing w:line="520" w:lineRule="exact"/>
        <w:ind w:left="1080"/>
        <w:rPr>
          <w:rFonts w:ascii="楷体_GB2312" w:eastAsia="楷体_GB2312"/>
          <w:color w:val="000000"/>
          <w:sz w:val="28"/>
        </w:rPr>
      </w:pPr>
    </w:p>
    <w:p w14:paraId="7369B86F">
      <w:pPr>
        <w:spacing w:line="520" w:lineRule="exact"/>
        <w:ind w:left="1080"/>
        <w:rPr>
          <w:rFonts w:ascii="楷体_GB2312" w:eastAsia="楷体_GB2312"/>
          <w:color w:val="000000"/>
          <w:sz w:val="28"/>
        </w:rPr>
      </w:pPr>
    </w:p>
    <w:p w14:paraId="2CACB7E0">
      <w:pPr>
        <w:spacing w:line="520" w:lineRule="exact"/>
        <w:ind w:left="1080"/>
        <w:rPr>
          <w:rFonts w:ascii="楷体_GB2312" w:eastAsia="楷体_GB2312"/>
          <w:color w:val="000000"/>
          <w:sz w:val="28"/>
        </w:rPr>
      </w:pPr>
    </w:p>
    <w:p w14:paraId="1F5F04ED">
      <w:pPr>
        <w:spacing w:line="520" w:lineRule="exact"/>
        <w:jc w:val="center"/>
        <w:rPr>
          <w:rFonts w:hint="default" w:ascii="仿宋_GB2312" w:eastAsia="仿宋_GB2312"/>
          <w:color w:val="000000"/>
          <w:sz w:val="30"/>
          <w:szCs w:val="30"/>
          <w:lang w:val="en-US" w:eastAsia="zh-CN"/>
        </w:rPr>
      </w:pPr>
      <w:r>
        <w:rPr>
          <w:rFonts w:hint="eastAsia" w:ascii="仿宋_GB2312" w:eastAsia="仿宋_GB2312"/>
          <w:color w:val="000000"/>
          <w:sz w:val="30"/>
          <w:szCs w:val="30"/>
        </w:rPr>
        <w:t>2026七牛校招季</w:t>
      </w:r>
      <w:r>
        <w:rPr>
          <w:rFonts w:hint="eastAsia" w:ascii="仿宋_GB2312" w:eastAsia="仿宋_GB2312"/>
          <w:color w:val="000000"/>
          <w:sz w:val="30"/>
          <w:szCs w:val="30"/>
          <w:lang w:val="en-US" w:eastAsia="zh-CN"/>
        </w:rPr>
        <w:t>产研专场</w:t>
      </w:r>
    </w:p>
    <w:p w14:paraId="1D62AA2B">
      <w:pPr>
        <w:spacing w:line="520" w:lineRule="exact"/>
        <w:jc w:val="center"/>
        <w:rPr>
          <w:rFonts w:hint="eastAsia" w:ascii="仿宋_GB2312" w:eastAsia="仿宋_GB2312"/>
          <w:color w:val="000000"/>
          <w:lang w:val="en-US" w:eastAsia="zh-CN"/>
        </w:rPr>
      </w:pPr>
      <w:r>
        <w:rPr>
          <w:rFonts w:ascii="仿宋_GB2312" w:eastAsia="仿宋_GB2312"/>
          <w:color w:val="000000"/>
          <w:sz w:val="30"/>
          <w:szCs w:val="30"/>
        </w:rPr>
        <w:t>202</w:t>
      </w:r>
      <w:r>
        <w:rPr>
          <w:rFonts w:hint="eastAsia" w:ascii="仿宋_GB2312" w:eastAsia="仿宋_GB2312"/>
          <w:color w:val="000000"/>
          <w:sz w:val="30"/>
          <w:szCs w:val="30"/>
          <w:lang w:val="en-US" w:eastAsia="zh-CN"/>
        </w:rPr>
        <w:t>5</w:t>
      </w:r>
      <w:r>
        <w:rPr>
          <w:rFonts w:ascii="仿宋_GB2312" w:eastAsia="仿宋_GB2312"/>
          <w:color w:val="000000"/>
          <w:sz w:val="30"/>
          <w:szCs w:val="30"/>
        </w:rPr>
        <w:t>-</w:t>
      </w:r>
      <w:r>
        <w:rPr>
          <w:rFonts w:hint="eastAsia" w:ascii="仿宋_GB2312" w:eastAsia="仿宋_GB2312"/>
          <w:color w:val="000000"/>
          <w:sz w:val="30"/>
          <w:szCs w:val="30"/>
          <w:lang w:val="en-US" w:eastAsia="zh-CN"/>
        </w:rPr>
        <w:t>9</w:t>
      </w:r>
      <w:r>
        <w:rPr>
          <w:rFonts w:ascii="仿宋_GB2312" w:eastAsia="仿宋_GB2312"/>
          <w:color w:val="000000"/>
          <w:sz w:val="30"/>
          <w:szCs w:val="30"/>
        </w:rPr>
        <w:t>-2</w:t>
      </w:r>
      <w:r>
        <w:rPr>
          <w:rFonts w:hint="eastAsia" w:ascii="仿宋_GB2312" w:eastAsia="仿宋_GB2312"/>
          <w:color w:val="000000"/>
          <w:sz w:val="30"/>
          <w:szCs w:val="30"/>
          <w:lang w:val="en-US" w:eastAsia="zh-CN"/>
        </w:rPr>
        <w:t>8</w:t>
      </w:r>
    </w:p>
    <w:p w14:paraId="542295DC">
      <w:r>
        <w:rPr>
          <w:rFonts w:ascii="黑体" w:eastAsia="黑体"/>
          <w:color w:val="000000"/>
          <w:sz w:val="36"/>
        </w:rPr>
        <w:br w:type="page"/>
      </w:r>
    </w:p>
    <w:sdt>
      <w:sdtPr>
        <w:rPr>
          <w:rFonts w:hint="eastAsia" w:ascii="黑体" w:hAnsi="黑体" w:eastAsia="黑体" w:cs="黑体"/>
          <w:b/>
          <w:bCs/>
          <w:kern w:val="2"/>
          <w:sz w:val="32"/>
          <w:szCs w:val="40"/>
          <w:lang w:val="en-US" w:eastAsia="zh-CN" w:bidi="ar-SA"/>
        </w:rPr>
        <w:id w:val="147480724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theme="minorBidi"/>
          <w:b/>
          <w:bCs/>
          <w:kern w:val="2"/>
          <w:sz w:val="24"/>
          <w:szCs w:val="24"/>
          <w:lang w:val="en-US" w:eastAsia="zh-CN" w:bidi="ar-SA"/>
        </w:rPr>
      </w:sdtEndPr>
      <w:sdtContent>
        <w:p w14:paraId="185DAE8D">
          <w:pPr>
            <w:jc w:val="center"/>
            <w:rPr>
              <w:rFonts w:ascii="Times New Roman" w:hAnsi="Times New Roman" w:eastAsia="宋体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黑体" w:hAnsi="黑体" w:eastAsia="黑体" w:cs="黑体"/>
              <w:b/>
              <w:bCs/>
              <w:sz w:val="32"/>
              <w:szCs w:val="40"/>
            </w:rPr>
            <w:t>目录</w:t>
          </w: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</w:p>
        <w:p w14:paraId="5B2163B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_Toc24845 </w:instrText>
          </w:r>
          <w:r>
            <w:fldChar w:fldCharType="separate"/>
          </w:r>
          <w:r>
            <w:t>1. 项目概述</w:t>
          </w:r>
          <w:r>
            <w:tab/>
          </w:r>
          <w:r>
            <w:fldChar w:fldCharType="begin"/>
          </w:r>
          <w:r>
            <w:instrText xml:space="preserve"> PAGEREF _Toc24845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2A5855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_Toc21663 </w:instrText>
          </w:r>
          <w:r>
            <w:fldChar w:fldCharType="separate"/>
          </w:r>
          <w:r>
            <w:t>1.1 项目背景</w:t>
          </w:r>
          <w:r>
            <w:tab/>
          </w:r>
          <w:r>
            <w:fldChar w:fldCharType="begin"/>
          </w:r>
          <w:r>
            <w:instrText xml:space="preserve"> PAGEREF _Toc21663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87BD85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_Toc23527 </w:instrText>
          </w:r>
          <w:r>
            <w:fldChar w:fldCharType="separate"/>
          </w:r>
          <w:r>
            <w:t>1.2 用户分析</w:t>
          </w:r>
          <w:r>
            <w:tab/>
          </w:r>
          <w:r>
            <w:fldChar w:fldCharType="begin"/>
          </w:r>
          <w:r>
            <w:instrText xml:space="preserve"> PAGEREF _Toc23527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D6DFD09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_Toc16897 </w:instrText>
          </w:r>
          <w:r>
            <w:fldChar w:fldCharType="separate"/>
          </w:r>
          <w:r>
            <w:t>2. 整体架构设计</w:t>
          </w:r>
          <w:r>
            <w:tab/>
          </w:r>
          <w:r>
            <w:fldChar w:fldCharType="begin"/>
          </w:r>
          <w:r>
            <w:instrText xml:space="preserve"> PAGEREF _Toc16897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104063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_Toc30226 </w:instrText>
          </w:r>
          <w:r>
            <w:fldChar w:fldCharType="separate"/>
          </w:r>
          <w:r>
            <w:t>2.1 功能概览</w:t>
          </w:r>
          <w:r>
            <w:tab/>
          </w:r>
          <w:r>
            <w:fldChar w:fldCharType="begin"/>
          </w:r>
          <w:r>
            <w:instrText xml:space="preserve"> PAGEREF _Toc30226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7A2B71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_Toc22581 </w:instrText>
          </w:r>
          <w:r>
            <w:fldChar w:fldCharType="separate"/>
          </w:r>
          <w:r>
            <w:t>2.2 技术栈选型</w:t>
          </w:r>
          <w:r>
            <w:tab/>
          </w:r>
          <w:r>
            <w:fldChar w:fldCharType="begin"/>
          </w:r>
          <w:r>
            <w:instrText xml:space="preserve"> PAGEREF _Toc22581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F114D0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_Toc25207 </w:instrText>
          </w:r>
          <w:r>
            <w:fldChar w:fldCharType="separate"/>
          </w:r>
          <w:r>
            <w:t>2.3 架构图</w:t>
          </w:r>
          <w:r>
            <w:tab/>
          </w:r>
          <w:r>
            <w:fldChar w:fldCharType="begin"/>
          </w:r>
          <w:r>
            <w:instrText xml:space="preserve"> PAGEREF _Toc25207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39F5771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_Toc28321 </w:instrText>
          </w:r>
          <w:r>
            <w:fldChar w:fldCharType="separate"/>
          </w:r>
          <w:r>
            <w:t>3. 核心模块设计</w:t>
          </w:r>
          <w:r>
            <w:tab/>
          </w:r>
          <w:r>
            <w:fldChar w:fldCharType="begin"/>
          </w:r>
          <w:r>
            <w:instrText xml:space="preserve"> PAGEREF _Toc28321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DDADE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_Toc21120 </w:instrText>
          </w:r>
          <w:r>
            <w:fldChar w:fldCharType="separate"/>
          </w:r>
          <w:r>
            <w:t>3.1 模型生成引擎</w:t>
          </w:r>
          <w:r>
            <w:tab/>
          </w:r>
          <w:r>
            <w:fldChar w:fldCharType="begin"/>
          </w:r>
          <w:r>
            <w:instrText xml:space="preserve"> PAGEREF _Toc21120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95A370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_Toc12856 </w:instrText>
          </w:r>
          <w:r>
            <w:fldChar w:fldCharType="separate"/>
          </w:r>
          <w:r>
            <w:t>3.2 用户管理模块</w:t>
          </w:r>
          <w:r>
            <w:tab/>
          </w:r>
          <w:r>
            <w:fldChar w:fldCharType="begin"/>
          </w:r>
          <w:r>
            <w:instrText xml:space="preserve"> PAGEREF _Toc12856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B216FD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_Toc17346 </w:instrText>
          </w:r>
          <w:r>
            <w:fldChar w:fldCharType="separate"/>
          </w:r>
          <w:r>
            <w:t>3.3 3D模型资产管理。</w:t>
          </w:r>
          <w:r>
            <w:tab/>
          </w:r>
          <w:r>
            <w:fldChar w:fldCharType="begin"/>
          </w:r>
          <w:r>
            <w:instrText xml:space="preserve"> PAGEREF _Toc17346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6E795B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_Toc17664 </w:instrText>
          </w:r>
          <w:r>
            <w:fldChar w:fldCharType="separate"/>
          </w:r>
          <w:r>
            <w:t>4. 系统优化</w:t>
          </w:r>
          <w:r>
            <w:tab/>
          </w:r>
          <w:r>
            <w:fldChar w:fldCharType="begin"/>
          </w:r>
          <w:r>
            <w:instrText xml:space="preserve"> PAGEREF _Toc17664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2400EC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_Toc2019 </w:instrText>
          </w:r>
          <w:r>
            <w:fldChar w:fldCharType="separate"/>
          </w:r>
          <w:r>
            <w:t>4.1 性能优化模块</w:t>
          </w:r>
          <w:r>
            <w:tab/>
          </w:r>
          <w:r>
            <w:fldChar w:fldCharType="begin"/>
          </w:r>
          <w:r>
            <w:instrText xml:space="preserve"> PAGEREF _Toc2019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516DC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_Toc29400 </w:instrText>
          </w:r>
          <w:r>
            <w:fldChar w:fldCharType="separate"/>
          </w:r>
          <w:r>
            <w:t>4.2 数据安全模块</w:t>
          </w:r>
          <w:r>
            <w:tab/>
          </w:r>
          <w:r>
            <w:fldChar w:fldCharType="begin"/>
          </w:r>
          <w:r>
            <w:instrText xml:space="preserve"> PAGEREF _Toc29400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FA2480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_Toc16588 </w:instrText>
          </w:r>
          <w:r>
            <w:fldChar w:fldCharType="separate"/>
          </w:r>
          <w:r>
            <w:t>4.3 智能提示词增强模块</w:t>
          </w:r>
          <w:r>
            <w:tab/>
          </w:r>
          <w:r>
            <w:fldChar w:fldCharType="begin"/>
          </w:r>
          <w:r>
            <w:instrText xml:space="preserve"> PAGEREF _Toc16588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6D1F43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_Toc28004 </w:instrText>
          </w:r>
          <w:r>
            <w:fldChar w:fldCharType="separate"/>
          </w:r>
          <w:r>
            <w:t>4.3.1设计背景</w:t>
          </w:r>
          <w:r>
            <w:tab/>
          </w:r>
          <w:r>
            <w:fldChar w:fldCharType="begin"/>
          </w:r>
          <w:r>
            <w:instrText xml:space="preserve"> PAGEREF _Toc28004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0934C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_Toc7025 </w:instrText>
          </w:r>
          <w:r>
            <w:fldChar w:fldCharType="separate"/>
          </w:r>
          <w:r>
            <w:t>4.3.2 技术实现</w:t>
          </w:r>
          <w:r>
            <w:tab/>
          </w:r>
          <w:r>
            <w:fldChar w:fldCharType="begin"/>
          </w:r>
          <w:r>
            <w:instrText xml:space="preserve"> PAGEREF _Toc7025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B477C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_Toc20544 </w:instrText>
          </w:r>
          <w:r>
            <w:fldChar w:fldCharType="separate"/>
          </w:r>
          <w:r>
            <w:t>4.4 图像输入质量增强与预处理</w:t>
          </w:r>
          <w:r>
            <w:tab/>
          </w:r>
          <w:r>
            <w:fldChar w:fldCharType="begin"/>
          </w:r>
          <w:r>
            <w:instrText xml:space="preserve"> PAGEREF _Toc20544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B98AEB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_Toc9637 </w:instrText>
          </w:r>
          <w:r>
            <w:fldChar w:fldCharType="separate"/>
          </w:r>
          <w:r>
            <w:t>4.4.1 问题背景</w:t>
          </w:r>
          <w:r>
            <w:tab/>
          </w:r>
          <w:r>
            <w:fldChar w:fldCharType="begin"/>
          </w:r>
          <w:r>
            <w:instrText xml:space="preserve"> PAGEREF _Toc9637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530C5A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_Toc30700 </w:instrText>
          </w:r>
          <w:r>
            <w:fldChar w:fldCharType="separate"/>
          </w:r>
          <w:r>
            <w:t>4.4.2 基于图算法的图片输入优化</w:t>
          </w:r>
          <w:r>
            <w:tab/>
          </w:r>
          <w:r>
            <w:fldChar w:fldCharType="begin"/>
          </w:r>
          <w:r>
            <w:instrText xml:space="preserve"> PAGEREF _Toc30700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3E13DF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_Toc16353 </w:instrText>
          </w:r>
          <w:r>
            <w:fldChar w:fldCharType="separate"/>
          </w:r>
          <w:r>
            <w:t>4.4.2 VIP流程：基于生成模型的图像优化</w:t>
          </w:r>
          <w:r>
            <w:tab/>
          </w:r>
          <w:r>
            <w:fldChar w:fldCharType="begin"/>
          </w:r>
          <w:r>
            <w:instrText xml:space="preserve"> PAGEREF _Toc16353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7C0BAB9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_Toc18712 </w:instrText>
          </w:r>
          <w:r>
            <w:fldChar w:fldCharType="separate"/>
          </w:r>
          <w:r>
            <w:t>5. 技术架构</w:t>
          </w:r>
          <w:r>
            <w:tab/>
          </w:r>
          <w:r>
            <w:fldChar w:fldCharType="begin"/>
          </w:r>
          <w:r>
            <w:instrText xml:space="preserve"> PAGEREF _Toc18712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16AB89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_Toc29153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t>.1 分层架构</w:t>
          </w:r>
          <w:r>
            <w:tab/>
          </w:r>
          <w:r>
            <w:fldChar w:fldCharType="begin"/>
          </w:r>
          <w:r>
            <w:instrText xml:space="preserve"> PAGEREF _Toc29153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664A6C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_Toc13102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t>.</w:t>
          </w:r>
          <w:r>
            <w:rPr>
              <w:rFonts w:hint="eastAsia"/>
              <w:lang w:val="en-US" w:eastAsia="zh-CN"/>
            </w:rPr>
            <w:t>2</w:t>
          </w:r>
          <w:r>
            <w:t xml:space="preserve"> 容器化部署</w:t>
          </w:r>
          <w:r>
            <w:tab/>
          </w:r>
          <w:r>
            <w:fldChar w:fldCharType="begin"/>
          </w:r>
          <w:r>
            <w:instrText xml:space="preserve"> PAGEREF _Toc13102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12D9F9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_Toc24960 </w:instrText>
          </w:r>
          <w:r>
            <w:fldChar w:fldCharType="separate"/>
          </w:r>
          <w:r>
            <w:t>6. 效果评估</w:t>
          </w:r>
          <w:r>
            <w:tab/>
          </w:r>
          <w:r>
            <w:fldChar w:fldCharType="begin"/>
          </w:r>
          <w:r>
            <w:instrText xml:space="preserve"> PAGEREF _Toc24960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6FD7A9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_Toc20558 </w:instrText>
          </w:r>
          <w:r>
            <w:fldChar w:fldCharType="separate"/>
          </w:r>
          <w:r>
            <w:t>6.1 效果预览</w:t>
          </w:r>
          <w:r>
            <w:tab/>
          </w:r>
          <w:r>
            <w:fldChar w:fldCharType="begin"/>
          </w:r>
          <w:r>
            <w:instrText xml:space="preserve"> PAGEREF _Toc20558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1A3C38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_Toc25927 </w:instrText>
          </w:r>
          <w:r>
            <w:fldChar w:fldCharType="separate"/>
          </w:r>
          <w:r>
            <w:t>7. 开发分工</w:t>
          </w:r>
          <w:r>
            <w:tab/>
          </w:r>
          <w:r>
            <w:fldChar w:fldCharType="begin"/>
          </w:r>
          <w:r>
            <w:instrText xml:space="preserve"> PAGEREF _Toc25927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4C9476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_Toc22046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t>.1 团队结构</w:t>
          </w:r>
          <w:r>
            <w:tab/>
          </w:r>
          <w:r>
            <w:fldChar w:fldCharType="begin"/>
          </w:r>
          <w:r>
            <w:instrText xml:space="preserve"> PAGEREF _Toc22046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5B7F18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t>.2 模块分工</w:t>
          </w:r>
          <w:r>
            <w:tab/>
          </w:r>
          <w:r>
            <w:fldChar w:fldCharType="begin"/>
          </w:r>
          <w:r>
            <w:instrText xml:space="preserve"> PAGEREF _Toc14465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DC4D43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t>.3 里程碑计划</w:t>
          </w:r>
          <w:r>
            <w:tab/>
          </w:r>
          <w:r>
            <w:fldChar w:fldCharType="begin"/>
          </w:r>
          <w:r>
            <w:instrText xml:space="preserve"> PAGEREF _Toc26134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1749EA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_Toc17614 </w:instrText>
          </w:r>
          <w:r>
            <w:fldChar w:fldCharType="separate"/>
          </w:r>
          <w:r>
            <w:t>8. 展望</w:t>
          </w:r>
          <w:r>
            <w:tab/>
          </w:r>
          <w:r>
            <w:fldChar w:fldCharType="begin"/>
          </w:r>
          <w:r>
            <w:instrText xml:space="preserve"> PAGEREF _Toc17614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491DC6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Times New Roman" w:hAnsi="Times New Roman" w:eastAsia="宋体" w:cstheme="minorBidi"/>
              <w:kern w:val="2"/>
              <w:sz w:val="24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130FE3AF">
      <w:pPr>
        <w:rPr>
          <w:rFonts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pPr>
    </w:p>
    <w:p w14:paraId="7A7E9F4B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4E47DA0">
      <w:pPr>
        <w:pStyle w:val="2"/>
        <w:bidi w:val="0"/>
      </w:pPr>
      <w:bookmarkStart w:id="3" w:name="_Toc24845"/>
      <w:r>
        <w:t>1. 项目概述</w:t>
      </w:r>
      <w:bookmarkEnd w:id="3"/>
    </w:p>
    <w:p w14:paraId="2C5252D7">
      <w:pPr>
        <w:pStyle w:val="3"/>
        <w:bidi w:val="0"/>
      </w:pPr>
      <w:bookmarkStart w:id="4" w:name="_Toc21663"/>
      <w:r>
        <w:t>1.1 项目背景</w:t>
      </w:r>
      <w:bookmarkEnd w:id="4"/>
    </w:p>
    <w:p w14:paraId="5B84A92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本项目Gen3D Forge为基于AI技术的智能3D模型生成平台，支持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本到3D模型（Text-to-3D）和图像到3D模型（Image-to-3D）的自动化生成。平台采用现代化的微服务架构，集成混元3D生成引擎、智能提示词优化、图像预处理增强等核心技术，为用户提供高质量、高效率的3D内容创作服务。</w:t>
      </w:r>
    </w:p>
    <w:p w14:paraId="0809D62D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业务目标: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旨在通过先进的AI技术，降低3D内容创作的门槛，提升创作效率，赋能用户快速、便捷地从文本或图像生成高质量的3D模型。</w:t>
      </w:r>
    </w:p>
    <w:p w14:paraId="563A7F92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项目愿景: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成为领先的AI驱动的3D内容生成与管理平台，为设计师、开发者、艺术家乃至普通用户提供高效、智能的3D资产创作工具，并构建一个充满活力的3D模型社区。</w:t>
      </w:r>
    </w:p>
    <w:p w14:paraId="10D93261">
      <w:pPr>
        <w:keepNext w:val="0"/>
        <w:keepLines w:val="0"/>
        <w:widowControl/>
        <w:suppressLineNumbers w:val="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核心需求:</w:t>
      </w:r>
    </w:p>
    <w:p w14:paraId="6D9F6B1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支持用户通过自然语言生成3D模型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；</w:t>
      </w:r>
    </w:p>
    <w:p w14:paraId="57BFE18C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支持用户通过上传图像生成3D模型。</w:t>
      </w:r>
    </w:p>
    <w:p w14:paraId="39C6566D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提供生成的3D模型资产的管理、预览、下载与分享功能。</w:t>
      </w:r>
    </w:p>
    <w:p w14:paraId="6876914D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确保生成模型的高质量与一致性。</w:t>
      </w:r>
    </w:p>
    <w:p w14:paraId="755C907E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提供稳定、安全、高性能的用户体验。</w:t>
      </w:r>
    </w:p>
    <w:p w14:paraId="527A7613">
      <w:pPr>
        <w:pStyle w:val="3"/>
        <w:bidi w:val="0"/>
      </w:pPr>
      <w:bookmarkStart w:id="5" w:name="_Toc23527"/>
      <w:r>
        <w:t>1.2 用户分析</w:t>
      </w:r>
      <w:bookmarkEnd w:id="5"/>
    </w:p>
    <w:p w14:paraId="1C6B3CBE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目标用户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游戏开发者、设计师、教育工作者、3D爱好者</w:t>
      </w:r>
    </w:p>
    <w:p w14:paraId="18870A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核心痛点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7599DA3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传统3D建模学习成本高、制作周期长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。</w:t>
      </w:r>
    </w:p>
    <w:p w14:paraId="6366CDA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缺乏专业建模技能但有3D内容需求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。</w:t>
      </w:r>
    </w:p>
    <w:p w14:paraId="2DDD2C1A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快速原型验证和创意实现需求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。</w:t>
      </w:r>
    </w:p>
    <w:p w14:paraId="0B686F8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用户故事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5006A80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作为一名游戏独立开发者，我希望能够通过简单的文本描述，快速生成具有特定风格（如赛博朋克）的道具或建筑模型，以加速我的游戏开发进程。</w:t>
      </w:r>
    </w:p>
    <w:p w14:paraId="197276C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作为一名室内设计师， 我希望能够上传一张房间的照片，然后让系统基于照片生成房间内的家具3D模型，以便我进行空间布局和设计。</w:t>
      </w:r>
    </w:p>
    <w:p w14:paraId="44DA99F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作为一名内容创作者， 我希望我的3D模型能被妥善管理，并且能够方便地分享给我的粉丝或同事，展示我的作品。</w:t>
      </w:r>
    </w:p>
    <w:p w14:paraId="627709E7">
      <w:pPr>
        <w:pStyle w:val="2"/>
        <w:bidi w:val="0"/>
      </w:pPr>
      <w:bookmarkStart w:id="6" w:name="_Toc16897"/>
      <w:r>
        <w:t>2. 整体架构设计</w:t>
      </w:r>
      <w:bookmarkEnd w:id="6"/>
    </w:p>
    <w:p w14:paraId="68507D8B">
      <w:pPr>
        <w:pStyle w:val="3"/>
        <w:bidi w:val="0"/>
      </w:pPr>
      <w:bookmarkStart w:id="7" w:name="_Toc30226"/>
      <w:r>
        <w:t>2.1 功能概览</w:t>
      </w:r>
      <w:bookmarkEnd w:id="7"/>
    </w:p>
    <w:p w14:paraId="73AE6A9A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平台提供完整的3D模型生成工作流，包含：</w:t>
      </w:r>
    </w:p>
    <w:p w14:paraId="41392AA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智能生成引擎: 基于混元3D的核心生成能力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9BA59C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用户管理系统: 完整的身份认证与权限管理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0FF5A11C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资产管理平台: 模型存储、预览、分享的全生命周期管理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247C9C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智能优化模块: 提示词增强与图像预处理优化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AD835E3">
      <w:pPr>
        <w:pStyle w:val="3"/>
        <w:bidi w:val="0"/>
      </w:pPr>
      <w:bookmarkStart w:id="8" w:name="_Toc22581"/>
      <w:r>
        <w:t>2.2 技术栈选型</w:t>
      </w:r>
      <w:bookmarkEnd w:id="8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6"/>
        <w:gridCol w:w="4816"/>
      </w:tblGrid>
      <w:tr w14:paraId="5416C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6" w:type="dxa"/>
          </w:tcPr>
          <w:p w14:paraId="138A92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4816" w:type="dxa"/>
          </w:tcPr>
          <w:p w14:paraId="4F47B5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React</w:t>
            </w:r>
          </w:p>
        </w:tc>
      </w:tr>
      <w:tr w14:paraId="058B6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6" w:type="dxa"/>
          </w:tcPr>
          <w:p w14:paraId="543669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</w:t>
            </w:r>
          </w:p>
        </w:tc>
        <w:tc>
          <w:tcPr>
            <w:tcW w:w="4816" w:type="dxa"/>
          </w:tcPr>
          <w:p w14:paraId="5218E7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C++ 17，Python 3.10</w:t>
            </w:r>
          </w:p>
        </w:tc>
      </w:tr>
      <w:tr w14:paraId="1E4D2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6" w:type="dxa"/>
          </w:tcPr>
          <w:p w14:paraId="201474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4816" w:type="dxa"/>
          </w:tcPr>
          <w:p w14:paraId="30CB54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</w:tr>
      <w:tr w14:paraId="310DD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6" w:type="dxa"/>
          </w:tcPr>
          <w:p w14:paraId="0A989B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容器化</w:t>
            </w:r>
          </w:p>
        </w:tc>
        <w:tc>
          <w:tcPr>
            <w:tcW w:w="4816" w:type="dxa"/>
          </w:tcPr>
          <w:p w14:paraId="76F39B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</w:t>
            </w:r>
          </w:p>
        </w:tc>
      </w:tr>
      <w:tr w14:paraId="35474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6" w:type="dxa"/>
          </w:tcPr>
          <w:p w14:paraId="28CF6A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AI模型</w:t>
            </w:r>
          </w:p>
        </w:tc>
        <w:tc>
          <w:tcPr>
            <w:tcW w:w="4816" w:type="dxa"/>
          </w:tcPr>
          <w:p w14:paraId="50348A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混元3D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Qwen-plus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Qwen-Image-Edit</w:t>
            </w:r>
          </w:p>
        </w:tc>
      </w:tr>
    </w:tbl>
    <w:p w14:paraId="3101368F">
      <w:pPr>
        <w:pStyle w:val="3"/>
        <w:bidi w:val="0"/>
      </w:pPr>
      <w:bookmarkStart w:id="9" w:name="_Toc25207"/>
      <w:r>
        <w:t>2.3 架构图</w:t>
      </w:r>
      <w:bookmarkEnd w:id="9"/>
    </w:p>
    <w:p w14:paraId="5B026D06">
      <w:pPr>
        <w:spacing w:line="240" w:lineRule="auto"/>
        <w:jc w:val="center"/>
      </w:pPr>
      <w:r>
        <w:drawing>
          <wp:inline distT="0" distB="0" distL="114300" distR="114300">
            <wp:extent cx="4638040" cy="3673475"/>
            <wp:effectExtent l="0" t="0" r="10160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EB78A">
      <w:pPr>
        <w:spacing w:line="240" w:lineRule="auto"/>
        <w:jc w:val="center"/>
      </w:pPr>
      <w:r>
        <w:rPr>
          <w:rFonts w:hint="eastAsia"/>
          <w:lang w:val="en-US" w:eastAsia="zh-CN"/>
        </w:rPr>
        <w:t>图1 系统架构图</w:t>
      </w:r>
    </w:p>
    <w:p w14:paraId="75E38E35">
      <w:pPr>
        <w:pStyle w:val="2"/>
        <w:bidi w:val="0"/>
      </w:pPr>
      <w:bookmarkStart w:id="10" w:name="_Toc28321"/>
      <w:r>
        <w:t>3. 核心模块设计</w:t>
      </w:r>
      <w:bookmarkEnd w:id="10"/>
    </w:p>
    <w:p w14:paraId="09969FAD">
      <w:pPr>
        <w:pStyle w:val="3"/>
        <w:bidi w:val="0"/>
      </w:pPr>
      <w:bookmarkStart w:id="11" w:name="_Toc21120"/>
      <w:r>
        <w:t>3.1 模型生成引擎</w:t>
      </w:r>
      <w:bookmarkEnd w:id="11"/>
    </w:p>
    <w:p w14:paraId="2ABDA91F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模块职责: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作为系统的核心计算单元，负责接收并解析用户输入的文本或图像数据，通过混元3D模型，自动化地构建和输出高质量的3D模型。</w:t>
      </w:r>
    </w:p>
    <w:p w14:paraId="6C06E3EA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核心功能:</w:t>
      </w:r>
    </w:p>
    <w:p w14:paraId="1C50FF4F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0" w:beforeAutospacing="1" w:after="0" w:afterAutospacing="1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文本生成模型 (Text-to-3D)：支持用户输入自然语言描述（Prompt）并指定模型类型，系统将自动生成符合描述的三维模型。</w:t>
      </w:r>
    </w:p>
    <w:p w14:paraId="66145912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0" w:beforeAutospacing="1" w:after="0" w:afterAutospacing="1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图像到三维生成 (Image-to-3D)：支持用户上传参考图像，并选择模型类型，系统将依据图像特征生成相应的三维模型。</w:t>
      </w:r>
    </w:p>
    <w:p w14:paraId="6B4788D2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0" w:beforeAutospacing="1" w:after="0" w:afterAutospacing="1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Prompt 智能优化: 内置语言模型，可对用户输入的初始Prompt进行分析、扩展与重构，生成细节更丰富、语义更明确的优化版Prompt，以提升生成效果的精准度。</w:t>
      </w:r>
    </w:p>
    <w:p w14:paraId="490EE3D6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0" w:beforeAutospacing="1" w:after="0" w:afterAutospacing="1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输入图像预处理与增强: 对上传的图片执行修复（如去噪、瑕疵补全）、分辨率提升和细节增强等操作，并提供生成更加合适的3D图片，为后续的三维生成提供高质量的输入源。</w:t>
      </w:r>
    </w:p>
    <w:p w14:paraId="23488FB2">
      <w:pPr>
        <w:pStyle w:val="3"/>
        <w:bidi w:val="0"/>
      </w:pPr>
      <w:bookmarkStart w:id="12" w:name="_Toc12856"/>
      <w:r>
        <w:t>3.2 用户管理模块</w:t>
      </w:r>
      <w:bookmarkEnd w:id="12"/>
    </w:p>
    <w:p w14:paraId="209799C4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模块职责: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负责统一管理所有用户的身份认证、会话与授权，确保系统资源的安全访问与隔离。</w:t>
      </w:r>
    </w:p>
    <w:p w14:paraId="2ED6235D">
      <w:pPr>
        <w:keepNext w:val="0"/>
        <w:keepLines w:val="0"/>
        <w:widowControl/>
        <w:suppressLineNumbers w:val="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核心功能:</w:t>
      </w:r>
    </w:p>
    <w:p w14:paraId="48604EBB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身份认证：提供用户注册和登录功能，进行了系统资源的隔离。</w:t>
      </w:r>
    </w:p>
    <w:p w14:paraId="5AABC20F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Session-Token 权限管理：通过Session-Token，对用户的登录状态进行跟踪和验证，负责 Token 的生成、校验、续期与失效，保障用户请求的合法性。</w:t>
      </w:r>
    </w:p>
    <w:p w14:paraId="16E9015D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权限控制：实现基于角色的访问控制模型。为不同的角色提供不同的服务。</w:t>
      </w:r>
    </w:p>
    <w:p w14:paraId="037386F6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用户信息管理：提供后台管理界面，支持管理员对用户进行查询，同时对用户进行筛选。</w:t>
      </w:r>
    </w:p>
    <w:p w14:paraId="292F5DA5">
      <w:pPr>
        <w:pStyle w:val="3"/>
        <w:bidi w:val="0"/>
      </w:pPr>
      <w:bookmarkStart w:id="13" w:name="_Toc17346"/>
      <w:r>
        <w:t>3.3 3D模型资产管理。</w:t>
      </w:r>
      <w:bookmarkEnd w:id="13"/>
    </w:p>
    <w:p w14:paraId="375E6965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模块职责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为用户提供一个覆盖3D模型从生成追踪到存储、预览、分发的全生命周期管理平台。同时，为管理员提供全局资产的监控与审核能力，确保社区内容生态的健康。</w:t>
      </w:r>
    </w:p>
    <w:p w14:paraId="277A5A3C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6B2372D5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查看当前任务：提供任务队列的可视化界面，用户可实时追踪模型生成的状态。支持查看生成结果的预览图及任务历史记录</w:t>
      </w:r>
    </w:p>
    <w:p w14:paraId="0F4A4B7D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个人资产库：用户可在个人空间内以多种视图。浏览和管理已生成的3D模型。提供内置的3D交互式预览器，支持模型的多角度查看和染色等操作。</w:t>
      </w:r>
    </w:p>
    <w:p w14:paraId="164F1E39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访问控制与发布：用户可为每个模型设置访问权限：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私有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（仅本人可见）或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。公开的模型将自动进入“灵感广场”等社区展示平台，供其他用户浏览和互动。</w:t>
      </w:r>
    </w:p>
    <w:p w14:paraId="30B764A2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资产操作与互动：提供多种格式（如 GLB, OBJ）的模型文件下载功能。支持用户对平台内的公开模型进行点赞和收藏操作。</w:t>
      </w:r>
    </w:p>
    <w:p w14:paraId="6CAA1343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后台监管系统：管理员拥有全局权限，可查看、检索、预览和下载所有用户的模型。对内容进行监督和管理。</w:t>
      </w:r>
    </w:p>
    <w:p w14:paraId="05565AD3">
      <w:pPr>
        <w:pStyle w:val="2"/>
        <w:bidi w:val="0"/>
      </w:pPr>
      <w:bookmarkStart w:id="14" w:name="_Toc17664"/>
      <w:r>
        <w:t>4. 系统优化</w:t>
      </w:r>
      <w:bookmarkEnd w:id="14"/>
    </w:p>
    <w:p w14:paraId="08EE3572">
      <w:pPr>
        <w:pStyle w:val="3"/>
        <w:bidi w:val="0"/>
      </w:pPr>
      <w:bookmarkStart w:id="15" w:name="_Toc2019"/>
      <w:r>
        <w:t>4.1 性能优化模块</w:t>
      </w:r>
      <w:bookmarkEnd w:id="15"/>
    </w:p>
    <w:p w14:paraId="29D0B0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职责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5ED6DD89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提升服务器的并发处理能力</w:t>
      </w:r>
    </w:p>
    <w:p w14:paraId="534CDF6E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优化数据库访问性能</w:t>
      </w:r>
    </w:p>
    <w:p w14:paraId="616D4F80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减少网络请求的延迟和资源消耗</w:t>
      </w:r>
    </w:p>
    <w:p w14:paraId="318832B4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提高文件下载和存储的效率</w:t>
      </w:r>
    </w:p>
    <w:p w14:paraId="5D66013C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实现接口的限流和防止滥用</w:t>
      </w:r>
    </w:p>
    <w:p w14:paraId="709A9C1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17350731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</w:pPr>
      <w:r>
        <w:rPr>
          <w:rStyle w:val="16"/>
          <w:b/>
        </w:rPr>
        <w:t>线程池管理</w:t>
      </w:r>
    </w:p>
    <w:p w14:paraId="55893AD5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84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使用线程池处理高并发任务，避免频繁创建和销毁线程。</w:t>
      </w:r>
    </w:p>
    <w:p w14:paraId="062D8679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动态调整线程池大小，基于服务器的负载和CPU核心数。</w:t>
      </w:r>
    </w:p>
    <w:p w14:paraId="7896BC17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Style w:val="16"/>
          <w:rFonts w:ascii="Times New Roman" w:hAnsi="Times New Roman" w:cs="Times New Roman"/>
          <w:b/>
        </w:rPr>
      </w:pPr>
      <w:r>
        <w:rPr>
          <w:rStyle w:val="16"/>
          <w:rFonts w:ascii="Times New Roman" w:hAnsi="Times New Roman" w:cs="Times New Roman"/>
          <w:b/>
        </w:rPr>
        <w:t>数据库连接池</w:t>
      </w:r>
      <w:r>
        <w:rPr>
          <w:rStyle w:val="16"/>
          <w:rFonts w:hint="eastAsia" w:ascii="Times New Roman" w:hAnsi="Times New Roman" w:cs="Times New Roman"/>
          <w:b/>
          <w:lang w:val="en-US" w:eastAsia="zh-CN"/>
        </w:rPr>
        <w:tab/>
      </w:r>
    </w:p>
    <w:p w14:paraId="65AF735A">
      <w:pPr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复用数据库连接，减少连接创建的开销。</w:t>
      </w:r>
    </w:p>
    <w:p w14:paraId="3048BBAB">
      <w:pPr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设置最小/最大连接数，避免资源浪费或连接耗尽。</w:t>
      </w:r>
    </w:p>
    <w:p w14:paraId="6B7E1EBE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Style w:val="16"/>
          <w:rFonts w:ascii="Times New Roman" w:hAnsi="Times New Roman" w:cs="Times New Roman"/>
          <w:b/>
        </w:rPr>
      </w:pPr>
      <w:r>
        <w:rPr>
          <w:rStyle w:val="16"/>
          <w:rFonts w:ascii="Times New Roman" w:hAnsi="Times New Roman" w:cs="Times New Roman"/>
          <w:b/>
        </w:rPr>
        <w:t>文件下载优化</w:t>
      </w:r>
    </w:p>
    <w:p w14:paraId="738C2BCE">
      <w:pPr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支持多线程并发下载，提升文件下载速度。</w:t>
      </w:r>
    </w:p>
    <w:p w14:paraId="21F9F859">
      <w:pPr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设置单个文件的下载超时时间，避免长时间阻塞，避免重复下载。</w:t>
      </w:r>
    </w:p>
    <w:p w14:paraId="6F9F84E2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Style w:val="16"/>
          <w:rFonts w:ascii="Times New Roman" w:hAnsi="Times New Roman" w:cs="Times New Roman"/>
          <w:b/>
        </w:rPr>
      </w:pPr>
      <w:r>
        <w:rPr>
          <w:rStyle w:val="16"/>
          <w:rFonts w:ascii="Times New Roman" w:hAnsi="Times New Roman" w:cs="Times New Roman"/>
          <w:b/>
        </w:rPr>
        <w:t>接口限流</w:t>
      </w:r>
    </w:p>
    <w:p w14:paraId="6D8919A8">
      <w:pPr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限制每分钟、每小时、每天的最大请求数，防止滥用。</w:t>
      </w:r>
    </w:p>
    <w:p w14:paraId="06592A6E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Style w:val="16"/>
          <w:rFonts w:ascii="Times New Roman" w:hAnsi="Times New Roman" w:cs="Times New Roman"/>
          <w:b/>
        </w:rPr>
      </w:pPr>
      <w:r>
        <w:rPr>
          <w:rStyle w:val="16"/>
          <w:rFonts w:ascii="Times New Roman" w:hAnsi="Times New Roman" w:cs="Times New Roman"/>
          <w:b/>
        </w:rPr>
        <w:t>异步任务处理</w:t>
      </w:r>
    </w:p>
    <w:p w14:paraId="44DB449A">
      <w:pPr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使用异步轮询机制（如AI3D任务轮询）减少阻塞。</w:t>
      </w:r>
    </w:p>
    <w:p w14:paraId="5EACC56C">
      <w:pPr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设置轮询间隔和超时时间，避免频繁查询或长时间等待。</w:t>
      </w:r>
    </w:p>
    <w:p w14:paraId="45AD304A">
      <w:pPr>
        <w:pStyle w:val="3"/>
        <w:bidi w:val="0"/>
      </w:pPr>
      <w:bookmarkStart w:id="16" w:name="_Toc29400"/>
      <w:r>
        <w:t>4.2 数据安全模块</w:t>
      </w:r>
      <w:bookmarkEnd w:id="16"/>
    </w:p>
    <w:p w14:paraId="306943B9">
      <w:pPr>
        <w:keepNext w:val="0"/>
        <w:keepLines w:val="0"/>
        <w:widowControl/>
        <w:suppressLineNumbers w:val="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职责：</w:t>
      </w:r>
    </w:p>
    <w:p w14:paraId="76C6145E">
      <w:pPr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left"/>
        <w:rPr>
          <w:rStyle w:val="16"/>
          <w:rFonts w:ascii="Times New Roman" w:hAnsi="Times New Roman" w:cs="Times New Roman"/>
          <w:b/>
          <w:lang w:val="en-US" w:eastAsia="zh-CN"/>
        </w:rPr>
      </w:pPr>
      <w:r>
        <w:rPr>
          <w:rStyle w:val="16"/>
          <w:rFonts w:ascii="Times New Roman" w:hAnsi="Times New Roman" w:cs="Times New Roman"/>
          <w:b/>
          <w:lang w:val="en-US" w:eastAsia="zh-CN"/>
        </w:rPr>
        <w:t>确保用户数据和服务器资源的安全性</w:t>
      </w:r>
      <w:r>
        <w:rPr>
          <w:rStyle w:val="16"/>
          <w:rFonts w:hint="eastAsia" w:ascii="Times New Roman" w:hAnsi="Times New Roman" w:cs="Times New Roman"/>
          <w:b/>
          <w:lang w:val="en-US" w:eastAsia="zh-CN"/>
        </w:rPr>
        <w:t>。</w:t>
      </w:r>
    </w:p>
    <w:p w14:paraId="330D1AB7">
      <w:pPr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left"/>
        <w:rPr>
          <w:rStyle w:val="16"/>
          <w:rFonts w:ascii="Times New Roman" w:hAnsi="Times New Roman" w:cs="Times New Roman"/>
          <w:b/>
          <w:lang w:val="en-US" w:eastAsia="zh-CN"/>
        </w:rPr>
      </w:pPr>
      <w:r>
        <w:rPr>
          <w:rStyle w:val="16"/>
          <w:rFonts w:ascii="Times New Roman" w:hAnsi="Times New Roman" w:cs="Times New Roman"/>
          <w:b/>
          <w:lang w:val="en-US" w:eastAsia="zh-CN"/>
        </w:rPr>
        <w:t>防止恶意请求、滥用接口和数据泄露</w:t>
      </w:r>
      <w:r>
        <w:rPr>
          <w:rStyle w:val="16"/>
          <w:rFonts w:hint="eastAsia" w:ascii="Times New Roman" w:hAnsi="Times New Roman" w:cs="Times New Roman"/>
          <w:b/>
          <w:lang w:val="en-US" w:eastAsia="zh-CN"/>
        </w:rPr>
        <w:t>。</w:t>
      </w:r>
    </w:p>
    <w:p w14:paraId="153E81ED">
      <w:pPr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left"/>
        <w:rPr>
          <w:rStyle w:val="16"/>
          <w:rFonts w:ascii="Times New Roman" w:hAnsi="Times New Roman" w:cs="Times New Roman"/>
          <w:b/>
          <w:lang w:val="en-US" w:eastAsia="zh-CN"/>
        </w:rPr>
      </w:pPr>
      <w:r>
        <w:rPr>
          <w:rStyle w:val="16"/>
          <w:rFonts w:ascii="Times New Roman" w:hAnsi="Times New Roman" w:cs="Times New Roman"/>
          <w:b/>
          <w:lang w:val="en-US" w:eastAsia="zh-CN"/>
        </w:rPr>
        <w:t>提供会话管理、权限验证和接口限流机制</w:t>
      </w:r>
      <w:r>
        <w:rPr>
          <w:rStyle w:val="16"/>
          <w:rFonts w:hint="eastAsia" w:ascii="Times New Roman" w:hAnsi="Times New Roman" w:cs="Times New Roman"/>
          <w:b/>
          <w:lang w:val="en-US" w:eastAsia="zh-CN"/>
        </w:rPr>
        <w:t>。</w:t>
      </w:r>
    </w:p>
    <w:p w14:paraId="293C889E">
      <w:pPr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left"/>
        <w:rPr>
          <w:rStyle w:val="16"/>
          <w:rFonts w:ascii="Times New Roman" w:hAnsi="Times New Roman" w:cs="Times New Roman"/>
          <w:b/>
          <w:lang w:val="en-US" w:eastAsia="zh-CN"/>
        </w:rPr>
      </w:pPr>
      <w:r>
        <w:rPr>
          <w:rStyle w:val="16"/>
          <w:rFonts w:ascii="Times New Roman" w:hAnsi="Times New Roman" w:cs="Times New Roman"/>
          <w:b/>
          <w:lang w:val="en-US" w:eastAsia="zh-CN"/>
        </w:rPr>
        <w:t>实现数据库事务管理，确保数据一致性</w:t>
      </w:r>
      <w:r>
        <w:rPr>
          <w:rStyle w:val="16"/>
          <w:rFonts w:hint="eastAsia" w:ascii="Times New Roman" w:hAnsi="Times New Roman" w:cs="Times New Roman"/>
          <w:b/>
          <w:lang w:val="en-US" w:eastAsia="zh-CN"/>
        </w:rPr>
        <w:t>。</w:t>
      </w:r>
    </w:p>
    <w:p w14:paraId="41327698">
      <w:pPr>
        <w:keepNext w:val="0"/>
        <w:keepLines w:val="0"/>
        <w:widowControl/>
        <w:suppressLineNumbers w:val="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主要功能：</w:t>
      </w:r>
    </w:p>
    <w:p w14:paraId="1D7C61A2">
      <w:pPr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left"/>
      </w:pPr>
      <w:r>
        <w:rPr>
          <w:rStyle w:val="16"/>
          <w:b/>
        </w:rPr>
        <w:t>会话管理及权限验证</w:t>
      </w:r>
    </w:p>
    <w:p w14:paraId="628DD425">
      <w:pPr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使用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SESSION_TTL_SECONDS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配置会话有效期，确保过期会话自动清理。</w:t>
      </w:r>
    </w:p>
    <w:p w14:paraId="56B6D6E2">
      <w:pPr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提供会话验证机制，确保每个请求都经过身份验证。</w:t>
      </w:r>
    </w:p>
    <w:p w14:paraId="669F90B8">
      <w:pPr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支持管理员权限验证,验证用户角色（如管理员、普通用户），确保用户只能访问其权限范围内的资源。</w:t>
      </w:r>
    </w:p>
    <w:p w14:paraId="26040CA4">
      <w:pPr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left"/>
      </w:pPr>
      <w:r>
        <w:rPr>
          <w:rStyle w:val="16"/>
          <w:b/>
        </w:rPr>
        <w:t>请求体大小限制</w:t>
      </w:r>
    </w:p>
    <w:p w14:paraId="3BB655A3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限制单个请求的最大体积，通过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MAX_REQUEST_SIZE_BYTES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配置，避免大请求占用过多资源。</w:t>
      </w:r>
    </w:p>
    <w:p w14:paraId="610E13BC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left"/>
      </w:pPr>
      <w:r>
        <w:rPr>
          <w:rStyle w:val="16"/>
          <w:b/>
        </w:rPr>
        <w:t>数据库事务管理</w:t>
      </w:r>
    </w:p>
    <w:p w14:paraId="53658D48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在关键操作（如用户注册、模型上传、下载记录更新）中使用事务，确保数据一致性。</w:t>
      </w:r>
    </w:p>
    <w:p w14:paraId="03520C2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支持事务的回滚机制，防止因异常导致的数据不完整或错误。</w:t>
      </w:r>
    </w:p>
    <w:p w14:paraId="6B0EBE8A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left"/>
        <w:rPr>
          <w:rStyle w:val="16"/>
          <w:rFonts w:ascii="Times New Roman" w:hAnsi="Times New Roman" w:cs="Times New Roman"/>
          <w:b/>
        </w:rPr>
      </w:pPr>
      <w:r>
        <w:rPr>
          <w:rStyle w:val="16"/>
          <w:rFonts w:ascii="Times New Roman" w:hAnsi="Times New Roman" w:cs="Times New Roman"/>
          <w:b/>
        </w:rPr>
        <w:t>数据加密</w:t>
      </w:r>
    </w:p>
    <w:p w14:paraId="4BB625AA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对敏感数据（如用户密码、会话令牌）进行加密存储，防止数据泄露。</w:t>
      </w:r>
    </w:p>
    <w:p w14:paraId="288C08ED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left"/>
        <w:rPr>
          <w:rStyle w:val="16"/>
          <w:rFonts w:ascii="Times New Roman" w:hAnsi="Times New Roman" w:cs="Times New Roman"/>
          <w:b/>
        </w:rPr>
      </w:pPr>
      <w:r>
        <w:rPr>
          <w:rStyle w:val="16"/>
          <w:rFonts w:ascii="Times New Roman" w:hAnsi="Times New Roman" w:cs="Times New Roman"/>
          <w:b/>
          <w:lang w:val="en-US" w:eastAsia="zh-CN"/>
        </w:rPr>
        <w:t>后台清理任务</w:t>
      </w:r>
    </w:p>
    <w:p w14:paraId="6E457BB6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定期清理过期会话、无效的限流数据和过期的性能监控数据，确保系统安全性和稳定性。</w:t>
      </w:r>
    </w:p>
    <w:p w14:paraId="27D9AD84">
      <w:pPr>
        <w:pStyle w:val="3"/>
        <w:bidi w:val="0"/>
      </w:pPr>
      <w:bookmarkStart w:id="17" w:name="_Toc16588"/>
      <w:r>
        <w:t>4.3 智能提示词增强模块</w:t>
      </w:r>
      <w:bookmarkEnd w:id="17"/>
    </w:p>
    <w:p w14:paraId="420E83CA">
      <w:pPr>
        <w:pStyle w:val="4"/>
        <w:bidi w:val="0"/>
      </w:pPr>
      <w:bookmarkStart w:id="18" w:name="_Toc28004"/>
      <w:r>
        <w:t>4.3.1设计背景</w:t>
      </w:r>
      <w:bookmarkEnd w:id="18"/>
    </w:p>
    <w:p w14:paraId="565CF6A6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在文本生成3D (Text-to-3D) 和图像生成3D (Image-to-3D) 的工作流中，输入文本的质量直接决定了最终三维模型的生成效果。低质量的原始输入往往导致模型无法准确理解用户意图，进而引发不必要的API重复调用，增加了计算成本并降低了开发效率。当前用户输入的原始文本主要存在以下问题：</w:t>
      </w:r>
    </w:p>
    <w:p w14:paraId="0BF1BC32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信息不完整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：用户输入常过于简洁（如“做一个房子”），缺少对光照、材质、细节层级等关键三维元素的专业描述。</w:t>
      </w:r>
    </w:p>
    <w:p w14:paraId="667B0610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表达模糊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：输入多为口语化表达，缺乏建模工具所需的技术参数（如PBR材质、体积光等）。</w:t>
      </w:r>
    </w:p>
    <w:p w14:paraId="7B4C4E77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风格缺失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：用户通常未明确指定生成风格（如写实、卡通、抽象），导致生成结果与预期存在较大偏差。</w:t>
      </w:r>
    </w:p>
    <w:p w14:paraId="2EADB6C2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可控性不足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：缺少结构化的提示词，不利于稳定地生成高质量、可复现的三维模型。</w:t>
      </w:r>
    </w:p>
    <w:p w14:paraId="2DB3624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为解决上述问题，我们设计了一个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提示词优化器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模块。其核心目标是在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用户的自由表达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与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3D建模的专业需求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之间架起一座桥梁，将低质量的自然语言文本自动转化为专业、可控、结构化的3D生成提示词。</w:t>
      </w:r>
    </w:p>
    <w:p w14:paraId="594DC7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该模块采用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文本增强管道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架构，其处理流程如下：</w:t>
      </w:r>
    </w:p>
    <w:p w14:paraId="49C6B3F2"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输入分析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：首先对原始文本进行质量评估，识别其复杂度、语言风格及是否包含专业技术描述。</w:t>
      </w:r>
    </w:p>
    <w:p w14:paraId="2D4EAE65"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提示词重构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：若评估为低质量文本，则调用大语言模型，结合用户预设的场景类型、风格和细节等级，生成结构化的新提示词。</w:t>
      </w:r>
    </w:p>
    <w:p w14:paraId="79AEEC03"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启发式增强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：在模型生成的基础上，通过规则库注入专业的3D渲染术语（如光照、材质、视觉效果等），进一步提升提示词的可控性与生成质量。</w:t>
      </w:r>
    </w:p>
    <w:p w14:paraId="3D0AE70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该管道采用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混合增强策略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：首先由大语言模型进行创造性的内容扩展，再由规则系统进行精确的专业术语补充，确保最终输出既富含细节又具备技术可用性。</w:t>
      </w:r>
    </w:p>
    <w:p w14:paraId="204E9ADA">
      <w:pPr>
        <w:pStyle w:val="4"/>
        <w:bidi w:val="0"/>
      </w:pPr>
      <w:bookmarkStart w:id="19" w:name="_Toc7025"/>
      <w:r>
        <w:t>4.3.2 技术实现</w:t>
      </w:r>
      <w:bookmarkEnd w:id="19"/>
    </w:p>
    <w:p w14:paraId="06D9D3E8">
      <w:pPr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输入质量评估</w:t>
      </w:r>
    </w:p>
    <w:p w14:paraId="2F2E8F9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系统通过预设规则自动判断输入文本是否需要增强。满足以下任一条件的文本将被标记为待优化：</w:t>
      </w:r>
    </w:p>
    <w:p w14:paraId="0BD333CC">
      <w:pPr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长度过短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：文本总长度小于15个字符。</w:t>
      </w:r>
    </w:p>
    <w:p w14:paraId="15DF4755">
      <w:pPr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指令性词汇主导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：文本包含“生成”、“做一个”、“创建一个”等指令性关键词，且缺少足够的描述性内容。</w:t>
      </w:r>
    </w:p>
    <w:p w14:paraId="37390BE0">
      <w:pPr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left"/>
        <w:rPr>
          <w:b/>
          <w:bCs w:val="0"/>
        </w:rPr>
      </w:pPr>
      <w:r>
        <w:rPr>
          <w:rStyle w:val="16"/>
          <w:rFonts w:ascii="宋体" w:hAnsi="宋体" w:eastAsia="宋体" w:cs="宋体"/>
          <w:b/>
          <w:bCs w:val="0"/>
          <w:kern w:val="0"/>
          <w:sz w:val="24"/>
          <w:szCs w:val="24"/>
          <w:lang w:val="en-US" w:eastAsia="zh-CN" w:bidi="ar"/>
        </w:rPr>
        <w:t>基于大语言模型的提示词增强</w:t>
      </w:r>
    </w:p>
    <w:p w14:paraId="301EB8C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我们选用Qwen-plus模型作为提示词优化的核心引擎。通过精心设计的System Prompt和User Prompt，引导模型将简单输入转化为丰富的视觉描述。</w:t>
      </w:r>
    </w:p>
    <w:p w14:paraId="31D1CA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【systerm prompt】</w:t>
      </w:r>
    </w:p>
    <w:p w14:paraId="0071F0BA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你是专业的3D视觉描述专家，专门将简单描述转换为详细的视觉特征描述。</w:t>
      </w:r>
    </w:p>
    <w:p w14:paraId="45622031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</w:p>
    <w:p w14:paraId="39A079B6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核心原则：</w:t>
      </w:r>
    </w:p>
    <w:p w14:paraId="7D4BC249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1. 主体描述：明确描述3D模型的主要对象和基本形态</w:t>
      </w:r>
    </w:p>
    <w:p w14:paraId="791B3EAC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2. 特征细化：详细描述外观特征、材质质感、色彩搭配</w:t>
      </w:r>
    </w:p>
    <w:p w14:paraId="2F6C637B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3. 风格融合：融入{request.style}风格的典型视觉元素</w:t>
      </w:r>
    </w:p>
    <w:p w14:paraId="6DDDA0DC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4. 场景适配：结合{request.scene_type}类型的空间特点</w:t>
      </w:r>
    </w:p>
    <w:p w14:paraId="214A1E61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</w:p>
    <w:p w14:paraId="323870BA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描述结构：</w:t>
      </w:r>
    </w:p>
    <w:p w14:paraId="0C3299DB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- 主体对象 + 基本形态特征</w:t>
      </w:r>
    </w:p>
    <w:p w14:paraId="46F67743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- 材质质感 + 色彩描述</w:t>
      </w:r>
    </w:p>
    <w:p w14:paraId="26A9B2FB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- 光影氛围 + 空间构图</w:t>
      </w:r>
    </w:p>
    <w:p w14:paraId="2082EEBD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- 风格特色 + 视觉亮点</w:t>
      </w:r>
    </w:p>
    <w:p w14:paraId="5C78E74A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</w:p>
    <w:p w14:paraId="60314871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语言要求：</w:t>
      </w:r>
    </w:p>
    <w:p w14:paraId="40BCC9A8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- 使用具体的视觉形容词，避免抽象概念</w:t>
      </w:r>
    </w:p>
    <w:p w14:paraId="2B84A0CF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- 每个描述都要可视化，能够指导3D建模</w:t>
      </w:r>
    </w:p>
    <w:p w14:paraId="034B4879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- 保持中文表达自然流畅</w:t>
      </w:r>
    </w:p>
    <w:p w14:paraId="3330CEAA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- 长度控制在80-120字</w:t>
      </w:r>
    </w:p>
    <w:p w14:paraId="271D17DC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</w:p>
    <w:p w14:paraId="5656444E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注意事项：</w:t>
      </w:r>
    </w:p>
    <w:p w14:paraId="4D6680B6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- 不使用技术参数术语（如8K、ray tracing等）</w:t>
      </w:r>
    </w:p>
    <w:p w14:paraId="7658CA2A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- 重点描述"看起来什么样"而非"如何制作"</w:t>
      </w:r>
    </w:p>
    <w:p w14:paraId="3D9110CB">
      <w:pPr>
        <w:keepNext w:val="0"/>
        <w:keepLines w:val="0"/>
        <w:widowControl/>
        <w:suppressLineNumbers w:val="0"/>
        <w:jc w:val="left"/>
        <w:rPr>
          <w:rStyle w:val="17"/>
        </w:rPr>
      </w:pPr>
      <w:r>
        <w:rPr>
          <w:rStyle w:val="17"/>
          <w:lang w:val="en-US" w:eastAsia="zh-CN"/>
        </w:rPr>
        <w:t>- 确保每个元素都有视觉可感知的描述</w:t>
      </w:r>
    </w:p>
    <w:p w14:paraId="6C6A2C8B">
      <w:pPr>
        <w:keepNext w:val="0"/>
        <w:keepLines w:val="0"/>
        <w:widowControl/>
        <w:suppressLineNumbers w:val="0"/>
        <w:jc w:val="left"/>
        <w:rPr>
          <w:rStyle w:val="17"/>
        </w:rPr>
      </w:pPr>
      <w:r>
        <w:rPr>
          <w:rStyle w:val="17"/>
          <w:lang w:val="en-US" w:eastAsia="zh-CN"/>
        </w:rPr>
        <w:t>【user prompt】</w:t>
      </w:r>
    </w:p>
    <w:p w14:paraId="48F7B909">
      <w:pPr>
        <w:keepNext w:val="0"/>
        <w:keepLines w:val="0"/>
        <w:widowControl/>
        <w:suppressLineNumbers w:val="0"/>
        <w:jc w:val="left"/>
        <w:rPr>
          <w:rStyle w:val="17"/>
        </w:rPr>
      </w:pPr>
      <w:r>
        <w:rPr>
          <w:rStyle w:val="17"/>
          <w:lang w:val="en-US" w:eastAsia="zh-CN"/>
        </w:rPr>
        <w:t>根据质量评估结果，动态生成处理指令：</w:t>
      </w:r>
    </w:p>
    <w:p w14:paraId="40BF996A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# Base Prompt</w:t>
      </w:r>
    </w:p>
    <w:p w14:paraId="575D39CD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请优化以下3D生成提示词：</w:t>
      </w:r>
    </w:p>
    <w:p w14:paraId="404403C2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【原始输入】："{request.text}"</w:t>
      </w:r>
    </w:p>
    <w:p w14:paraId="7E9C07D4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【目标风格】：{request.style}</w:t>
      </w:r>
    </w:p>
    <w:p w14:paraId="02E2DC40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【场景类型】：{request.scene_type}</w:t>
      </w:r>
    </w:p>
    <w:p w14:paraId="4FDFF4B6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【细节级别】：{request.detail_level}</w:t>
      </w:r>
    </w:p>
    <w:p w14:paraId="7F77B3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E5DE45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# Dynamic Instruction</w:t>
      </w:r>
    </w:p>
    <w:p w14:paraId="5AD4E5D1">
      <w:pPr>
        <w:keepNext w:val="0"/>
        <w:keepLines w:val="0"/>
        <w:widowControl/>
        <w:suppressLineNumbers w:val="0"/>
        <w:ind w:firstLine="420" w:firstLineChars="0"/>
        <w:jc w:val="left"/>
        <w:rPr>
          <w:rStyle w:val="17"/>
          <w:rFonts w:hint="eastAsia"/>
          <w:lang w:val="en-US" w:eastAsia="zh-CN"/>
        </w:rPr>
      </w:pPr>
      <w:r>
        <w:rPr>
          <w:rStyle w:val="17"/>
          <w:rFonts w:hint="eastAsia"/>
          <w:lang w:val="en-US" w:eastAsia="zh-CN"/>
        </w:rPr>
        <w:t>如果是空文本增加</w:t>
      </w:r>
    </w:p>
    <w:p w14:paraId="098AADE6">
      <w:pPr>
        <w:keepNext w:val="0"/>
        <w:keepLines w:val="0"/>
        <w:widowControl/>
        <w:suppressLineNumbers w:val="0"/>
        <w:ind w:firstLine="420" w:firstLineChars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【处理方式】：基于{request.scene_type}创造一个{request.style}风格的3D对象，完整描述其外观、材质、色彩和整体视觉效果。</w:t>
      </w:r>
    </w:p>
    <w:p w14:paraId="59FC9BAB">
      <w:pPr>
        <w:keepNext w:val="0"/>
        <w:keepLines w:val="0"/>
        <w:widowControl/>
        <w:suppressLineNumbers w:val="0"/>
        <w:ind w:firstLine="420" w:firstLineChars="0"/>
        <w:jc w:val="left"/>
        <w:rPr>
          <w:rStyle w:val="17"/>
          <w:rFonts w:hint="default"/>
          <w:lang w:val="en-US" w:eastAsia="zh-CN"/>
        </w:rPr>
      </w:pPr>
      <w:r>
        <w:rPr>
          <w:rStyle w:val="17"/>
          <w:rFonts w:hint="eastAsia"/>
          <w:lang w:val="en-US" w:eastAsia="zh-CN"/>
        </w:rPr>
        <w:t>如果是简单文本</w:t>
      </w:r>
    </w:p>
    <w:p w14:paraId="0F61C53C">
      <w:pPr>
        <w:keepNext w:val="0"/>
        <w:keepLines w:val="0"/>
        <w:widowControl/>
        <w:suppressLineNumbers w:val="0"/>
        <w:ind w:firstLine="420" w:firstLineChars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【处理方式】：大幅扩展视觉细节描述，包括：具体外观、材质质感、色彩搭配、光影效果、构图特点等。"</w:t>
      </w:r>
    </w:p>
    <w:p w14:paraId="7F79F248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</w:p>
    <w:p w14:paraId="73F42162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#  Output Format</w:t>
      </w:r>
    </w:p>
    <w:p w14:paraId="23945877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【输出格式】：</w:t>
      </w:r>
    </w:p>
    <w:p w14:paraId="266AED56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请直接输出优化后的中文视觉描述，按照"主体+特征+风格"的结构组织。</w:t>
      </w:r>
    </w:p>
    <w:p w14:paraId="61E6B6A9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优化后的3D描述：</w:t>
      </w:r>
    </w:p>
    <w:p w14:paraId="05517C2C">
      <w:pPr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基于规则的启发式优化</w:t>
      </w:r>
    </w:p>
    <w:p w14:paraId="11312658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在模型生成描述后，系统会根据用户选择的风格，从预定义的规则库中追加专业描述词，以增强特定风格的视觉表现力。</w:t>
      </w:r>
    </w:p>
    <w:p w14:paraId="61AFA763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启发示规则表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9"/>
        <w:gridCol w:w="2088"/>
        <w:gridCol w:w="2729"/>
        <w:gridCol w:w="1960"/>
      </w:tblGrid>
      <w:tr w14:paraId="7A2E6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503AF4A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风格 (Style)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B1E2329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主体特征 (Subject Features)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CE485DC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视觉特征 (Visual Characteristics)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D6F0555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风格元素 (Style Elements)</w:t>
            </w:r>
          </w:p>
        </w:tc>
      </w:tr>
      <w:tr w14:paraId="1054F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E557AF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写实 (Realistic)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03D138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逼真外观, 自然比例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C15CCD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真实材质, 自然光影, 丰富细节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01B838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写实风格, 照片级效果</w:t>
            </w:r>
          </w:p>
        </w:tc>
      </w:tr>
      <w:tr w14:paraId="001A5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3D540D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卡通 (Cartoon)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FE936D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可爱造型, 夸张比例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F54DD6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鲜艳色彩, 光滑表面, 清晰轮廓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CAA7BB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卡通风格, 动画效果</w:t>
            </w:r>
          </w:p>
        </w:tc>
      </w:tr>
      <w:tr w14:paraId="0CCFE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DDAF67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科幻 (Sci-Fi)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4DA84F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科技造型, 流线外观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D0004A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金属质感, 发光元素, 冷色调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898900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科幻风格, 未来感</w:t>
            </w:r>
          </w:p>
        </w:tc>
      </w:tr>
      <w:tr w14:paraId="400D7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8E102D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奇幻 (Fantasy)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4B78C9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奇幻造型, 优雅形态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945AEB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柔和光效, 神秘色彩, 空灵质感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1CF0AA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奇幻风格, 魔法氛围</w:t>
            </w:r>
          </w:p>
        </w:tc>
      </w:tr>
      <w:tr w14:paraId="484C7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50049A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极简 (Minimalist)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354DC1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简洁造型, 纯净线条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D05389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单纯色彩, 干净表面, 留白空间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79C25C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极简风格, 简约美学</w:t>
            </w:r>
          </w:p>
        </w:tc>
      </w:tr>
      <w:tr w14:paraId="3F3DA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6F7AD8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抽象 (Abstract)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2E3039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几何形态, 抽象造型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AB6822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纯色块面, 线条构成, 形状组合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6B23B7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抽象艺术, 现代设计</w:t>
            </w:r>
          </w:p>
        </w:tc>
      </w:tr>
    </w:tbl>
    <w:p w14:paraId="6D12B909">
      <w:pPr>
        <w:pStyle w:val="3"/>
        <w:bidi w:val="0"/>
      </w:pPr>
      <w:bookmarkStart w:id="20" w:name="_Toc20544"/>
      <w:r>
        <w:t>4.4 图像输入质量增强与预处理</w:t>
      </w:r>
      <w:bookmarkEnd w:id="20"/>
      <w:r>
        <w:t xml:space="preserve"> </w:t>
      </w:r>
    </w:p>
    <w:p w14:paraId="158EE270">
      <w:pPr>
        <w:pStyle w:val="4"/>
        <w:bidi w:val="0"/>
      </w:pPr>
      <w:bookmarkStart w:id="21" w:name="_Toc9637"/>
      <w:r>
        <w:t>4.4.1 问题背景</w:t>
      </w:r>
      <w:bookmarkEnd w:id="21"/>
    </w:p>
    <w:p w14:paraId="46FA48E6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有的3D重建大模型对输入图像的质量有严格要求。低质量图像（如模糊、噪声多、光照不均）会直接导致重建结果出现细节缺失、几何结构错误和纹理质量差等问题，不仅浪费了宝贵的计算资源，也严重影响了用户体验。主要挑战包括：</w:t>
      </w:r>
    </w:p>
    <w:p w14:paraId="198DA57B"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标准不明确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：缺乏一套针对3D重建任务的图像质量评估标准。</w:t>
      </w:r>
    </w:p>
    <w:p w14:paraId="5FF860C3"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预处理缺失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：工作流中缺少对原始图像进行自动化质量优化和修复的环节。</w:t>
      </w:r>
    </w:p>
    <w:p w14:paraId="321C5129"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用户体验差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：用户无法预知其上传的图像是否适用于3D重建，导致结果质量不可控。</w:t>
      </w:r>
    </w:p>
    <w:p w14:paraId="16EF682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为满足不同用户的需求，我们设计了一套**双流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双流优化架构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，包含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标准流程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VIP流程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3CC40C8"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标准流程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：基于传统图像处理算法，提供低成本、高效率的自动化评估与优化，面向普通用户。</w:t>
      </w:r>
    </w:p>
    <w:p w14:paraId="5421BD53"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VIP流程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：调用先进的图像生成大模型，通过精细的提示词工程进行深度优化，效果更佳，但成本与耗时相对较高，面向对质量有更高要求的VIP用户。</w:t>
      </w:r>
    </w:p>
    <w:p w14:paraId="201C9475">
      <w:pPr>
        <w:pStyle w:val="4"/>
        <w:bidi w:val="0"/>
      </w:pPr>
      <w:bookmarkStart w:id="22" w:name="_Toc30700"/>
      <w:r>
        <w:t>4.4.2 基于图算法的图片输入优化</w:t>
      </w:r>
      <w:bookmarkEnd w:id="22"/>
    </w:p>
    <w:p w14:paraId="1E0A28C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本方案采用“评估-优化-验证”的闭环处理架构，通过建立专门的图像质量评估系统（IQAS），自动识别不满足3D重建要求的图像，并进行针对性优化处理。方案遵循“两阶段流程”：</w:t>
      </w:r>
    </w:p>
    <w:p w14:paraId="762D328B">
      <w:pPr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质量评估模块 (Image Quality Assessment System</w:t>
      </w:r>
      <w:r>
        <w:rPr>
          <w:rStyle w:val="16"/>
          <w:rFonts w:hint="eastAsia" w:ascii="宋体" w:hAnsi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IQAS)</w:t>
      </w:r>
    </w:p>
    <w:p w14:paraId="121C8C4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对输入图像进行多维度定量评估，输出质量评分。关键评估维度包括：</w:t>
      </w:r>
    </w:p>
    <w:p w14:paraId="4BC351D9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分辨率 (Resolution)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：基于像素总量评分，确保有足够的细节供3D建模。</w:t>
      </w:r>
    </w:p>
    <w:p w14:paraId="35A3CC83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清晰度 (Clarity)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：基于拉普拉斯方差 (Laplacian variance) 量化图像的边缘锐度。</w:t>
      </w:r>
    </w:p>
    <w:p w14:paraId="7980C3B8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噪声水平 (Noise Level)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：通过对比原图与高斯模糊图的差异来估计噪声强度。</w:t>
      </w:r>
    </w:p>
    <w:p w14:paraId="2FF90332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对比度 (Contrast)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：采用RMS对比度评估整体灰度分布的动态范围。</w:t>
      </w:r>
    </w:p>
    <w:p w14:paraId="4A99345F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光照均衡性 (Lighting Balance)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：通过分析亮度直方图的均值与标准差，判断是否存在过曝或欠曝。</w:t>
      </w:r>
    </w:p>
    <w:p w14:paraId="14316E0A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边缘完整度 (Edge Integrity)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：基于Canny边缘检测计算边缘密度，评估物体结构的清晰度。</w:t>
      </w:r>
    </w:p>
    <w:p w14:paraId="476B4E63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人脸质量 (Face Quality - 可选)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：若图像包含人脸，则额外评估人脸区域的大小与清晰度。</w:t>
      </w:r>
    </w:p>
    <w:p w14:paraId="4A0FB936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自适应增强模块 (Adaptive Enhancement Module)</w:t>
      </w:r>
    </w:p>
    <w:p w14:paraId="2BC5FAAE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根据IQAS的评估结果，仅对低于阈值的维度应用针对性的增强算法，避免过度处理。</w:t>
      </w:r>
    </w:p>
    <w:p w14:paraId="6E0A52E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若清晰度不足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：应用非锐化掩模 (Unsharp Mask) 提升细节。</w:t>
      </w:r>
    </w:p>
    <w:p w14:paraId="0DF240F8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若噪声过多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：应用非局部均值去噪 (Non-local Means Denoising) 保留纹理。</w:t>
      </w:r>
    </w:p>
    <w:p w14:paraId="4AA38419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若对比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若对比度不足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：应用限制对比度的自适应直方图均衡化 (CLAHE) 增强局部对比度。</w:t>
      </w:r>
    </w:p>
    <w:p w14:paraId="44565B86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若光照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若光照不均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：应用Gamma校正自动调整亮度。</w:t>
      </w:r>
    </w:p>
    <w:p w14:paraId="0107C16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若分辨率过低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：应用双三次插值 (Bicubic Interpolation) 进行超分辨率放大。</w:t>
      </w:r>
    </w:p>
    <w:p w14:paraId="2424917E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图片质量评估各项权重系数表</w:t>
      </w:r>
    </w:p>
    <w:tbl>
      <w:tblPr>
        <w:tblStyle w:val="1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0"/>
        <w:gridCol w:w="1092"/>
      </w:tblGrid>
      <w:tr w14:paraId="6942A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B26B019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指标</w:t>
            </w:r>
          </w:p>
        </w:tc>
        <w:tc>
          <w:tcPr>
            <w:tcW w:w="10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1BD48C4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权重</w:t>
            </w:r>
          </w:p>
        </w:tc>
      </w:tr>
      <w:tr w14:paraId="0C833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B19D662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分辨率 resolution</w:t>
            </w:r>
          </w:p>
        </w:tc>
        <w:tc>
          <w:tcPr>
            <w:tcW w:w="10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143B6E2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0.15</w:t>
            </w:r>
          </w:p>
        </w:tc>
      </w:tr>
      <w:tr w14:paraId="7E2BB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517BA46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清晰度 sharpness</w:t>
            </w:r>
          </w:p>
        </w:tc>
        <w:tc>
          <w:tcPr>
            <w:tcW w:w="10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2ECE56C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0.25</w:t>
            </w:r>
          </w:p>
        </w:tc>
      </w:tr>
      <w:tr w14:paraId="763BE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D85A0CE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噪声 noise</w:t>
            </w:r>
          </w:p>
        </w:tc>
        <w:tc>
          <w:tcPr>
            <w:tcW w:w="10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2332A02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0.15</w:t>
            </w:r>
          </w:p>
        </w:tc>
      </w:tr>
      <w:tr w14:paraId="75751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46D42FF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对比度 contrast</w:t>
            </w:r>
          </w:p>
        </w:tc>
        <w:tc>
          <w:tcPr>
            <w:tcW w:w="10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5B82B4E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0.15</w:t>
            </w:r>
          </w:p>
        </w:tc>
      </w:tr>
      <w:tr w14:paraId="0A0DE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47608DC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光照 lighting</w:t>
            </w:r>
          </w:p>
        </w:tc>
        <w:tc>
          <w:tcPr>
            <w:tcW w:w="10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E49A57B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0.15</w:t>
            </w:r>
          </w:p>
        </w:tc>
      </w:tr>
      <w:tr w14:paraId="5EF44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0568777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边缘完整度 edge</w:t>
            </w:r>
          </w:p>
        </w:tc>
        <w:tc>
          <w:tcPr>
            <w:tcW w:w="10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2DEAEA2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0.1</w:t>
            </w:r>
          </w:p>
        </w:tc>
      </w:tr>
      <w:tr w14:paraId="45552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BFD3969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人脸质量 face</w:t>
            </w:r>
          </w:p>
        </w:tc>
        <w:tc>
          <w:tcPr>
            <w:tcW w:w="10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F22A47F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0.05</w:t>
            </w:r>
          </w:p>
        </w:tc>
      </w:tr>
    </w:tbl>
    <w:p w14:paraId="39D83743">
      <w:pPr>
        <w:pStyle w:val="4"/>
        <w:bidi w:val="0"/>
      </w:pPr>
      <w:bookmarkStart w:id="23" w:name="_Toc16353"/>
      <w:r>
        <w:t>4.4.2 VIP流程：基于生成模型的图像优化</w:t>
      </w:r>
      <w:bookmarkEnd w:id="23"/>
    </w:p>
    <w:p w14:paraId="67E2095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为满足对三维重建质量有极致要求的专业用户和商业应用场景，我们设计了基于先进图像生成大模型的VIP优化流程。此流程不仅是对图像质量的增强，更是利用生成式AI的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语义理解和内容创造能力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，对输入图像进行深度重塑，旨在生成最理想的“数字底片”以供3D重建。</w:t>
      </w:r>
    </w:p>
    <w:p w14:paraId="6063CBA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本流程采用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Qwen-Image-Edit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模型，通过一个高度结构化的多目标优化提示词，对图像进行全方位的深度增强。</w:t>
      </w:r>
    </w:p>
    <w:p w14:paraId="1D2A0E88">
      <w:pPr>
        <w:keepNext w:val="0"/>
        <w:keepLines w:val="0"/>
        <w:widowControl/>
        <w:suppressLineNumbers w:val="0"/>
        <w:jc w:val="left"/>
        <w:rPr>
          <w:rStyle w:val="17"/>
        </w:rPr>
      </w:pPr>
      <w:r>
        <w:rPr>
          <w:rStyle w:val="17"/>
          <w:rFonts w:hint="eastAsia"/>
          <w:lang w:val="en-US" w:eastAsia="zh-CN"/>
        </w:rPr>
        <w:t xml:space="preserve"># </w:t>
      </w:r>
      <w:r>
        <w:rPr>
          <w:rStyle w:val="17"/>
          <w:lang w:val="en-US" w:eastAsia="zh-CN"/>
        </w:rPr>
        <w:t>多目标优化提示词</w:t>
      </w:r>
    </w:p>
    <w:p w14:paraId="709BE77A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为3D生成和重建任务全面优化这张图像，请同时应用以下所有优化策略：</w:t>
      </w:r>
    </w:p>
    <w:p w14:paraId="0722F26E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1. 清晰度和细节增强：增强图像清晰度和细节，提高边缘定义，改善纹理清晰度，优化对比度以获得更好的深度感知，减少噪音同时保留精细细节，使其更适合3D重建。</w:t>
      </w:r>
    </w:p>
    <w:p w14:paraId="28323FBF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2. 光照和深度优化：优化光照和深度线索用于3D建模，平衡亮度和阴影，增强深度信息可见性，改善表面法线定义，调整对比度以获得更好的3D扫描兼容性。</w:t>
      </w:r>
    </w:p>
    <w:p w14:paraId="52802C2E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3. 几何和结构优化：增强几何特征，强化结构边缘，改善物体边界定义，优化视角以获得更好的3D重建效果，减少背景干扰。</w:t>
      </w:r>
    </w:p>
    <w:p w14:paraId="36AEA224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4. 纹理和材质优化：增强表面纹理和材质细节，改善材质反射特性，优化纹理映射质量，增强材质边界清晰度，为3D材质重建提供更丰富的信息。</w:t>
      </w:r>
    </w:p>
    <w:p w14:paraId="76B59988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5. 色彩和饱和度优化：优化色彩平衡和饱和度，增强色彩对比度，改善颜色准确性，优化色彩梯度过渡，为3D颜色重建提供更准确的色彩信息。</w:t>
      </w:r>
    </w:p>
    <w:p w14:paraId="7B7EEF9F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6. 干扰元素清理：完全移除水印、标识等非内容元素，清理背景噪点和无关物体。</w:t>
      </w:r>
    </w:p>
    <w:p w14:paraId="251C07B7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7. 背景处理：显著淡化背景复杂度，创建干净的背景环境，确保主体物体突出，便于3D分割和提取。</w:t>
      </w:r>
    </w:p>
    <w:p w14:paraId="68F003F0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8. 3D重建特定优化：确保多角度信息完整，优化遮挡区域的可见性，增强空间关系的表达，为点云生成和网格重建提供最佳输入质量。</w:t>
      </w:r>
    </w:p>
    <w:p w14:paraId="52952E11">
      <w:pPr>
        <w:keepNext w:val="0"/>
        <w:keepLines w:val="0"/>
        <w:widowControl/>
        <w:suppressLineNumbers w:val="0"/>
        <w:jc w:val="left"/>
        <w:rPr>
          <w:rStyle w:val="17"/>
        </w:rPr>
      </w:pPr>
      <w:r>
        <w:rPr>
          <w:rStyle w:val="17"/>
          <w:lang w:val="en-US" w:eastAsia="zh-CN"/>
        </w:rPr>
        <w:t>输出要求：生成适合3D扫描、建模和重建的高质量优化图像，确保几何信息丰富、纹理清晰、空间关系明确、背景去除同时主体的颜色不要变动。</w:t>
      </w:r>
    </w:p>
    <w:p w14:paraId="6B1C6D74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标准流程和VIP流程对比表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9"/>
        <w:gridCol w:w="2867"/>
        <w:gridCol w:w="4580"/>
      </w:tblGrid>
      <w:tr w14:paraId="49E76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8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87359AD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对比维度</w:t>
            </w:r>
          </w:p>
        </w:tc>
        <w:tc>
          <w:tcPr>
            <w:tcW w:w="28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2660AD8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标准流程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DB2992A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VIP流程 </w:t>
            </w:r>
          </w:p>
        </w:tc>
      </w:tr>
      <w:tr w14:paraId="182C7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8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3A6518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核心技术</w:t>
            </w:r>
          </w:p>
        </w:tc>
        <w:tc>
          <w:tcPr>
            <w:tcW w:w="28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8E8A49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传统图像处理算法（OpenCV等）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F0DC2C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生成式AI大模型 (Generative AI)</w:t>
            </w:r>
          </w:p>
        </w:tc>
      </w:tr>
      <w:tr w14:paraId="290D4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8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0416ED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处理能力</w:t>
            </w:r>
          </w:p>
        </w:tc>
        <w:tc>
          <w:tcPr>
            <w:tcW w:w="28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C3CC3B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像素级修复与增强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5AC853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语义级理解、内容生成与重塑</w:t>
            </w:r>
          </w:p>
        </w:tc>
      </w:tr>
      <w:tr w14:paraId="349C1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8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407BB9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优化上限</w:t>
            </w:r>
          </w:p>
        </w:tc>
        <w:tc>
          <w:tcPr>
            <w:tcW w:w="28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449A24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受限于原始图像信息，无法创造新信息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45C719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可生成原始图像中不存在的信息（如补全遮挡、重构纹理）</w:t>
            </w:r>
          </w:p>
        </w:tc>
      </w:tr>
      <w:tr w14:paraId="5ADCA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8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25FC12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成本</w:t>
            </w:r>
          </w:p>
        </w:tc>
        <w:tc>
          <w:tcPr>
            <w:tcW w:w="28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1D49D5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低（CPU密集型，计算量小）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2A97F8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高（GPU密集型，API调用费用）</w:t>
            </w:r>
          </w:p>
        </w:tc>
      </w:tr>
      <w:tr w14:paraId="77128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8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734710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响应速度</w:t>
            </w:r>
          </w:p>
        </w:tc>
        <w:tc>
          <w:tcPr>
            <w:tcW w:w="28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CD8F7E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快（秒级）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1679B3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慢（分钟级）</w:t>
            </w:r>
          </w:p>
        </w:tc>
      </w:tr>
      <w:tr w14:paraId="1600E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8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95D07F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适用场景</w:t>
            </w:r>
          </w:p>
        </w:tc>
        <w:tc>
          <w:tcPr>
            <w:tcW w:w="28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010561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普通质量提升、快速预处理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BF32AD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高保真重建、艺术品数字化、残缺图像修复、风格化处理</w:t>
            </w:r>
          </w:p>
        </w:tc>
      </w:tr>
      <w:tr w14:paraId="5458F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8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DB4A32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用户定位</w:t>
            </w:r>
          </w:p>
        </w:tc>
        <w:tc>
          <w:tcPr>
            <w:tcW w:w="28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F3E707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普通用户、大众化应用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523999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专业用户、商业项目、高质量要求场景</w:t>
            </w:r>
          </w:p>
        </w:tc>
      </w:tr>
    </w:tbl>
    <w:p w14:paraId="3BA80569">
      <w:pPr>
        <w:pStyle w:val="2"/>
        <w:bidi w:val="0"/>
      </w:pPr>
      <w:bookmarkStart w:id="24" w:name="_Toc18712"/>
      <w:r>
        <w:t>5. 技术架构</w:t>
      </w:r>
      <w:bookmarkEnd w:id="24"/>
    </w:p>
    <w:p w14:paraId="1F0DBBDB">
      <w:pPr>
        <w:pStyle w:val="3"/>
        <w:bidi w:val="0"/>
      </w:pPr>
      <w:bookmarkStart w:id="25" w:name="_Toc29153"/>
      <w:r>
        <w:rPr>
          <w:rFonts w:hint="eastAsia"/>
          <w:lang w:val="en-US" w:eastAsia="zh-CN"/>
        </w:rPr>
        <w:t>5</w:t>
      </w:r>
      <w:r>
        <w:t>.1 分层架构</w:t>
      </w:r>
      <w:bookmarkEnd w:id="25"/>
    </w:p>
    <w:p w14:paraId="67AAD8C3">
      <w:pPr>
        <w:bidi w:val="0"/>
        <w:spacing w:line="240" w:lineRule="auto"/>
      </w:pPr>
      <w:r>
        <w:drawing>
          <wp:inline distT="0" distB="0" distL="114300" distR="114300">
            <wp:extent cx="2229485" cy="2352040"/>
            <wp:effectExtent l="0" t="0" r="5715" b="1016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18460" cy="2374900"/>
            <wp:effectExtent l="0" t="0" r="254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017CC">
      <w:pPr>
        <w:jc w:val="center"/>
      </w:pPr>
      <w:r>
        <w:rPr>
          <w:rFonts w:hint="eastAsia"/>
          <w:lang w:val="en-US" w:eastAsia="zh-CN"/>
        </w:rPr>
        <w:t>图2 分层架构图</w:t>
      </w:r>
    </w:p>
    <w:p w14:paraId="69CCDA67">
      <w:pPr>
        <w:pStyle w:val="3"/>
        <w:bidi w:val="0"/>
      </w:pPr>
      <w:bookmarkStart w:id="26" w:name="_Toc13102"/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容器化部署</w:t>
      </w:r>
      <w:bookmarkEnd w:id="26"/>
    </w:p>
    <w:p w14:paraId="5825EA2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本系统采用现代化的容器化架构，通过 Docker Compose 进行统一编排和管理。该架构将应用解耦为多个独立的服务容器，它们在隔离的网络环境中协同工作，</w:t>
      </w:r>
    </w:p>
    <w:p w14:paraId="2BA094F6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47640" cy="3263265"/>
            <wp:effectExtent l="0" t="0" r="10160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3263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CB15B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 3 容器部署示意图</w:t>
      </w:r>
    </w:p>
    <w:p w14:paraId="7EC33CD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以下是该架构的详细解析：</w:t>
      </w:r>
    </w:p>
    <w:p w14:paraId="5219BCD8">
      <w:pPr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外部用户 (External User)</w:t>
      </w:r>
    </w:p>
    <w:p w14:paraId="010A6D42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系统的最终使用者，通过标准的网页浏览器与应用进行交互。</w:t>
      </w:r>
    </w:p>
    <w:p w14:paraId="0F862329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流程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用户的所有请求首先访问到部署服务器暴露的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80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端口，这是整个应用的公共入口。</w:t>
      </w:r>
    </w:p>
    <w:p w14:paraId="66FF8760">
      <w:pPr>
        <w:keepNext w:val="0"/>
        <w:keepLines w:val="0"/>
        <w:widowControl/>
        <w:suppressLineNumbers w:val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docker-compose.yml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实现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在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web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服务中，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ports: - "80:80"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配置将宿主机的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80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端口映射到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qiniu-web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容器的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80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端口，从而将外部流量引导至前端服务。</w:t>
      </w:r>
    </w:p>
    <w:p w14:paraId="60F0C963">
      <w:pPr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前端服务 (qiniu-web 容器)</w:t>
      </w:r>
    </w:p>
    <w:p w14:paraId="3173C88F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这是一个基于 Nginx 的容器，作为系统的门户。它负责向用户提供图形用户界面（UI）。</w:t>
      </w:r>
    </w:p>
    <w:p w14:paraId="4D947CEA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核心职责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569D33B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静态内容服务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托管并向用户浏览器发送前端应用的静态文件（HTML, CSS, JavaScript）。</w:t>
      </w:r>
    </w:p>
    <w:p w14:paraId="349157F6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API 反向代理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根据请求路径，将动态 API 请求智能地转发到后端的不同微服务。</w:t>
      </w:r>
    </w:p>
    <w:p w14:paraId="1AC2C863">
      <w:pPr>
        <w:keepNext w:val="0"/>
        <w:keepLines w:val="0"/>
        <w:widowControl/>
        <w:suppressLineNumbers w:val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docker-compose.yml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实现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61A89EC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container_name: qiniu-web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定义了容器的名称。</w:t>
      </w:r>
    </w:p>
    <w:p w14:paraId="7BB09E9D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build: context: ./web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指定了前端应用是基于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/web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目录下的 Dockerfile 构建的。</w:t>
      </w:r>
    </w:p>
    <w:p w14:paraId="3C1A6C45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depends_on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server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和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py_server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确保了前端容器会在后端两个服务都启动并健康后才启动。</w:t>
      </w:r>
    </w:p>
    <w:p w14:paraId="525778F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关键配置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args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中的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API_UPSTREAM: http://server:8080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和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LLM_UPSTREAM: http://py_server:8090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精确地对应了图中的两条请求链路。Nginx 容器内部会根据这些配置，将请求分别转发给名为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server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和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py_server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的容器。</w:t>
      </w:r>
    </w:p>
    <w:p w14:paraId="4D88B5F4">
      <w:pPr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C++ 后端 API (qiniu-server 容器)</w:t>
      </w:r>
    </w:p>
    <w:p w14:paraId="32E4CBE6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采用 C++ 编写的高性能核心后端服务。</w:t>
      </w:r>
    </w:p>
    <w:p w14:paraId="47951A09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核心职责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处理主要的业务逻辑，如用户认证、任务管理、数据查询、模型信息管理等。</w:t>
      </w:r>
    </w:p>
    <w:p w14:paraId="3A94C95A">
      <w:pPr>
        <w:keepNext w:val="0"/>
        <w:keepLines w:val="0"/>
        <w:widowControl/>
        <w:suppressLineNumbers w:val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docker-compose.yml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实现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1389391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container_name: qiniu-server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定义了容器名。</w:t>
      </w:r>
    </w:p>
    <w:p w14:paraId="5BD21F4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depends_on: mysql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确保它会在数据库容器健康后才启动。</w:t>
      </w:r>
    </w:p>
    <w:p w14:paraId="34A9E88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environment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通过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MYSQL_HOST: mysql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MYSQL_USER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等环境变量，它知道了如何连接到名为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mysql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的数据库容器。</w:t>
      </w:r>
    </w:p>
    <w:p w14:paraId="0CA57998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volumes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通过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models-data:/var/www/models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将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models-data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数据卷挂载到容器内，实现了对3D模型文件的访问。</w:t>
      </w:r>
    </w:p>
    <w:p w14:paraId="7C3C6770">
      <w:pPr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Python LLM API (qiniu-py-server 容器)</w:t>
      </w:r>
    </w:p>
    <w:p w14:paraId="4164F3BE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采用 Python 编写的专用 AI/LLM（大语言模型）服务。</w:t>
      </w:r>
    </w:p>
    <w:p w14:paraId="185BB206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核心职责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专注于处理计算密集型或需要特定 Python AI 库的任务，例如：润色 Prompt、图片修复与增强、调用大模型进行内容生成等。</w:t>
      </w:r>
    </w:p>
    <w:p w14:paraId="57958568">
      <w:pPr>
        <w:keepNext w:val="0"/>
        <w:keepLines w:val="0"/>
        <w:widowControl/>
        <w:suppressLineNumbers w:val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docker-compose.yml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实现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4FB8E9E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container_name: qiniu-py-server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定义了容器名。</w:t>
      </w:r>
    </w:p>
    <w:p w14:paraId="6666986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environment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DASHSCOPE_API_KEY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等环境变量用于配置其所需的大模型服务密钥。</w:t>
      </w:r>
    </w:p>
    <w:p w14:paraId="219C898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volumes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与 C++ 后端一样，它也通过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models-data:/var/www/models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挂载了同一个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models-data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数据卷，从而可以与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qiniu-server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共享模型文件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AFC3C73">
      <w:pPr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数据库服务 (qiniu-mysql 容器)</w:t>
      </w:r>
    </w:p>
    <w:p w14:paraId="59FE3591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系统的核心数据存储，使用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mysql:5.7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镜像。</w:t>
      </w:r>
    </w:p>
    <w:p w14:paraId="30180E69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核心职责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存储所有结构化数据，例如用户信息、任务队列、模型元数据等。</w:t>
      </w:r>
    </w:p>
    <w:p w14:paraId="10666B8A">
      <w:pPr>
        <w:keepNext w:val="0"/>
        <w:keepLines w:val="0"/>
        <w:widowControl/>
        <w:suppressLineNumbers w:val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docker-compose.yml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实现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2867B80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container_name: qiniu-mysql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定义了容器名。</w:t>
      </w:r>
    </w:p>
    <w:p w14:paraId="2D5F67FD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environment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MYSQL_ROOT_PASSWORD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MYSQL_DATABASE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等变量在容器首次启动时自动创建数据库和用户。</w:t>
      </w:r>
    </w:p>
    <w:p w14:paraId="24F0B9CB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volumes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65E8BB78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mysql-data:/var/lib/mysql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这是最关键的一步，它将数据库的实际文件存储在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mysql-data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数据卷中，实现了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数据库的持久化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5C64CF9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./server/sql:/docker-entrypoint-initdb.d:ro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在数据库首次初始化时，会自动执行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/server/sql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目录下的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.sql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文件，用于创建表结构。</w:t>
      </w:r>
    </w:p>
    <w:p w14:paraId="406B5F3C">
      <w:pPr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持久化存储 (Docker Volumes)</w:t>
      </w:r>
    </w:p>
    <w:p w14:paraId="628EF628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为了避免数据因容器的销毁而丢失，系统采用了 Docker Volume 进行持久化。</w:t>
      </w:r>
    </w:p>
    <w:p w14:paraId="30FFAC2E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核心职责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45D8BD58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mysql-data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专门用于存储 MySQL 数据库文件。</w:t>
      </w:r>
    </w:p>
    <w:p w14:paraId="4CAB62A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models-data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作为一个共享卷，供 C++ 和 Python 两个后端容器共同读写，用于存放体积较大的3D模型文件。</w:t>
      </w:r>
    </w:p>
    <w:p w14:paraId="07E6AB0B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docker-compose.yml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实现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在文件的最顶层通过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volumes: mysql-data: ...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声明了这两个命名数据卷。</w:t>
      </w:r>
    </w:p>
    <w:p w14:paraId="1BA5F5CC">
      <w:pPr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网络 (qiniu-net / Docker Bridge Network)</w:t>
      </w:r>
    </w:p>
    <w:p w14:paraId="4A110882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描述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一个自定义的 Docker 桥接网络，为所有服务容器提供了一个内部的、隔离的通信环境。</w:t>
      </w:r>
    </w:p>
    <w:p w14:paraId="2F579324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核心职责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7B59805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服务发现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容器之间可以通过其在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docker-compose.yml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中定义的服务名（如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web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server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mysql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）作为主机名直接进行网络通信，无需关心它们的内部 IP 地址。</w:t>
      </w:r>
    </w:p>
    <w:p w14:paraId="15CC372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网络隔离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将应用的容器与宿主机的其他网络服务隔离开，提高了安全性。</w:t>
      </w:r>
    </w:p>
    <w:p w14:paraId="4A5864D1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docker-compose.yml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实现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: 每个服务的配置中都包含了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networks: - qiniu-net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，并在文件顶层通过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networks: qiniu-net: ...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定义了此网络。</w:t>
      </w:r>
    </w:p>
    <w:p w14:paraId="06F3EEF3">
      <w:pPr>
        <w:pStyle w:val="2"/>
        <w:bidi w:val="0"/>
      </w:pPr>
      <w:bookmarkStart w:id="27" w:name="_Toc24960"/>
      <w:r>
        <w:t>6. 效果评估</w:t>
      </w:r>
      <w:bookmarkEnd w:id="27"/>
    </w:p>
    <w:p w14:paraId="032C218D">
      <w:pPr>
        <w:pStyle w:val="3"/>
        <w:bidi w:val="0"/>
      </w:pPr>
      <w:bookmarkStart w:id="28" w:name="_Toc20558"/>
      <w:r>
        <w:t>6.1 效果预览</w:t>
      </w:r>
      <w:bookmarkEnd w:id="28"/>
    </w:p>
    <w:p w14:paraId="4F7DC84B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 xml:space="preserve">(1) </w:t>
      </w:r>
      <w:r>
        <w:rPr>
          <w:b/>
          <w:bCs/>
        </w:rPr>
        <w:t>智能提示词增加模块</w:t>
      </w:r>
    </w:p>
    <w:p w14:paraId="62C12FB3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【输入】</w:t>
      </w:r>
    </w:p>
    <w:p w14:paraId="67691F1A">
      <w:pPr>
        <w:keepNext w:val="0"/>
        <w:keepLines w:val="0"/>
        <w:widowControl/>
        <w:suppressLineNumbers w:val="0"/>
        <w:jc w:val="left"/>
        <w:rPr>
          <w:rStyle w:val="17"/>
          <w:lang w:val="en-US" w:eastAsia="zh-CN"/>
        </w:rPr>
      </w:pPr>
      <w:r>
        <w:rPr>
          <w:rStyle w:val="17"/>
          <w:lang w:val="en-US" w:eastAsia="zh-CN"/>
        </w:rPr>
        <w:t>机械朋克风格的大鹅</w:t>
      </w:r>
    </w:p>
    <w:p w14:paraId="40EAC87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增强后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】</w:t>
      </w:r>
    </w:p>
    <w:p w14:paraId="2E0381E8">
      <w:pPr>
        <w:keepNext w:val="0"/>
        <w:keepLines w:val="0"/>
        <w:widowControl/>
        <w:suppressLineNumbers w:val="0"/>
        <w:jc w:val="left"/>
        <w:rPr>
          <w:rStyle w:val="17"/>
        </w:rPr>
      </w:pPr>
      <w:r>
        <w:rPr>
          <w:rStyle w:val="17"/>
          <w:lang w:val="en-US" w:eastAsia="zh-CN"/>
        </w:rPr>
        <w:t>一只机械朋克风格的金属大鹅，流线型躯体融合黄铜与深灰合金材质，表面带有铆钉拼接纹理和细微磨损痕迹，翅膀为可动齿轮结构，双眼嵌有幽蓝发光晶体；整体呈昂首站立姿态，背景为暗调工业风陈列台，侧光凸显金属光泽与阴影层次，细节丰富但不繁杂，realistic写实质感突出。</w:t>
      </w:r>
    </w:p>
    <w:p w14:paraId="10381602">
      <w:pPr>
        <w:numPr>
          <w:ilvl w:val="0"/>
          <w:numId w:val="16"/>
        </w:numPr>
        <w:bidi w:val="0"/>
        <w:rPr>
          <w:b/>
          <w:bCs/>
        </w:rPr>
      </w:pPr>
      <w:r>
        <w:rPr>
          <w:b/>
          <w:bCs/>
        </w:rPr>
        <w:t>图像输入增强模块</w:t>
      </w:r>
    </w:p>
    <w:p w14:paraId="359C5ED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基于图算法的图像输入增强</w:t>
      </w:r>
    </w:p>
    <w:p w14:paraId="4AF329E6">
      <w:pPr>
        <w:keepNext w:val="0"/>
        <w:keepLines w:val="0"/>
        <w:widowControl/>
        <w:suppressLineNumbers w:val="0"/>
        <w:spacing w:line="240" w:lineRule="auto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92980" cy="2693035"/>
            <wp:effectExtent l="0" t="0" r="7620" b="1206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693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92ADCD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 xml:space="preserve">图3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增强前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低质量图片</w:t>
      </w:r>
    </w:p>
    <w:p w14:paraId="5CE540C4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D002B4B">
      <w:pPr>
        <w:keepNext w:val="0"/>
        <w:keepLines w:val="0"/>
        <w:widowControl/>
        <w:suppressLineNumbers w:val="0"/>
        <w:spacing w:line="240" w:lineRule="auto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48860" cy="2724785"/>
            <wp:effectExtent l="0" t="0" r="2540" b="5715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2724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F61627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图4 图算法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增强后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的图片</w:t>
      </w:r>
    </w:p>
    <w:p w14:paraId="49603EE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质量超过阈值图片，不会进行图像增强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，如图5所示。</w:t>
      </w:r>
    </w:p>
    <w:p w14:paraId="6A95CA80">
      <w:pPr>
        <w:keepNext w:val="0"/>
        <w:keepLines w:val="0"/>
        <w:widowControl/>
        <w:suppressLineNumbers w:val="0"/>
        <w:spacing w:line="240" w:lineRule="auto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122930" cy="3122930"/>
            <wp:effectExtent l="0" t="0" r="1270" b="127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2930" cy="3122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021CF5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图5 高质量图片不需优化</w:t>
      </w:r>
    </w:p>
    <w:p w14:paraId="7C6C773E">
      <w:pPr>
        <w:keepNext w:val="0"/>
        <w:keepLines w:val="0"/>
        <w:widowControl/>
        <w:suppressLineNumbers w:val="0"/>
        <w:ind w:firstLine="420" w:firstLineChars="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基于生成模型的图优化模块效果</w:t>
      </w:r>
    </w:p>
    <w:p w14:paraId="38D16AB1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对图3进行基于生成模型增强后的图片如图6所示。</w:t>
      </w:r>
    </w:p>
    <w:p w14:paraId="11B4D9A4">
      <w:pPr>
        <w:keepNext w:val="0"/>
        <w:keepLines w:val="0"/>
        <w:widowControl/>
        <w:suppressLineNumbers w:val="0"/>
        <w:spacing w:line="24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93945" cy="2730500"/>
            <wp:effectExtent l="0" t="0" r="8255" b="0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3945" cy="273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F90842">
      <w:pPr>
        <w:keepNext w:val="0"/>
        <w:keepLines w:val="0"/>
        <w:widowControl/>
        <w:suppressLineNumbers w:val="0"/>
        <w:spacing w:line="240" w:lineRule="auto"/>
        <w:jc w:val="center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图6 生</w:t>
      </w:r>
      <w:bookmarkStart w:id="34" w:name="_GoBack"/>
      <w:bookmarkEnd w:id="34"/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成模型增强后的图片</w:t>
      </w:r>
    </w:p>
    <w:p w14:paraId="4DD613FE">
      <w:pPr>
        <w:keepNext w:val="0"/>
        <w:keepLines w:val="0"/>
        <w:widowControl/>
        <w:suppressLineNumbers w:val="0"/>
        <w:spacing w:line="240" w:lineRule="auto"/>
        <w:jc w:val="center"/>
      </w:pPr>
      <w:r>
        <w:drawing>
          <wp:inline distT="0" distB="0" distL="114300" distR="114300">
            <wp:extent cx="3796665" cy="3420110"/>
            <wp:effectExtent l="0" t="0" r="635" b="889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6665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59200" cy="3888740"/>
            <wp:effectExtent l="0" t="0" r="0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54328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图8 图片优化前后生成3D模型对比预览图</w:t>
      </w:r>
    </w:p>
    <w:p w14:paraId="0C5072B8">
      <w:pPr>
        <w:pStyle w:val="2"/>
        <w:bidi w:val="0"/>
      </w:pPr>
      <w:bookmarkStart w:id="29" w:name="_Toc25927"/>
      <w:r>
        <w:t>7. 开发分工</w:t>
      </w:r>
      <w:bookmarkEnd w:id="29"/>
    </w:p>
    <w:p w14:paraId="1961AD55">
      <w:pPr>
        <w:pStyle w:val="3"/>
        <w:bidi w:val="0"/>
      </w:pPr>
      <w:bookmarkStart w:id="30" w:name="_Toc22046"/>
      <w:r>
        <w:rPr>
          <w:rFonts w:hint="eastAsia"/>
          <w:lang w:val="en-US" w:eastAsia="zh-CN"/>
        </w:rPr>
        <w:t>7</w:t>
      </w:r>
      <w:r>
        <w:t>.1 团队结构</w:t>
      </w:r>
      <w:bookmarkEnd w:id="30"/>
    </w:p>
    <w:p w14:paraId="0178FBB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共三人</w:t>
      </w:r>
    </w:p>
    <w:p w14:paraId="119BBF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前端组 李明 (1人)</w:t>
      </w:r>
    </w:p>
    <w:p w14:paraId="3B46574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├── 后端组 侯雨康 (1人)  </w:t>
      </w:r>
    </w:p>
    <w:p w14:paraId="262E6B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 算法组 刘宇翔 (1人)</w:t>
      </w:r>
    </w:p>
    <w:p w14:paraId="6DB09D8B">
      <w:pPr>
        <w:pStyle w:val="3"/>
        <w:bidi w:val="0"/>
      </w:pPr>
      <w:bookmarkStart w:id="31" w:name="_Toc14465"/>
      <w:r>
        <w:rPr>
          <w:rFonts w:hint="eastAsia"/>
          <w:lang w:val="en-US" w:eastAsia="zh-CN"/>
        </w:rPr>
        <w:t>7</w:t>
      </w:r>
      <w:r>
        <w:t>.2 模块分工</w:t>
      </w:r>
      <w:bookmarkEnd w:id="31"/>
    </w:p>
    <w:p w14:paraId="28230F74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模块分工与责任矩阵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7"/>
        <w:gridCol w:w="814"/>
        <w:gridCol w:w="3646"/>
        <w:gridCol w:w="1129"/>
      </w:tblGrid>
      <w:tr w14:paraId="18B52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3F2E2A1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AD45D0A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主要负责人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A771E31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职责描述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E2DDC06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协作方</w:t>
            </w:r>
          </w:p>
        </w:tc>
      </w:tr>
      <w:tr w14:paraId="6110B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1A927C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前端界面 (Web UI)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8F9F4E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前端组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A4B5EE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页面开发、组件设计、状态管理、API调用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34DA3D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后端组</w:t>
            </w:r>
          </w:p>
        </w:tc>
      </w:tr>
      <w:tr w14:paraId="2D7E0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D3F621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用户注册/登录/会话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B3BA4E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后端组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3F9E67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认证鉴权逻辑、Token管理、用户信息持久化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3C37E1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前端组</w:t>
            </w:r>
          </w:p>
        </w:tc>
      </w:tr>
      <w:tr w14:paraId="5C7B4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AD8249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模型生成任务提交/查询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E015D4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后端组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1D4C05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任务队列管理、任务状态更新、与AI后端调度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7DC8D8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前端组, 算法组</w:t>
            </w:r>
          </w:p>
        </w:tc>
      </w:tr>
      <w:tr w14:paraId="32EC2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D93C73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3D模型资产存储/管理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D8977A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后端组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A74B64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模型元数据管理、文件存储路径、权限控制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27B195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前端组</w:t>
            </w:r>
          </w:p>
        </w:tc>
      </w:tr>
      <w:tr w14:paraId="5BFFB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C3057F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3D模型预览/下载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4EF241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后端组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6BF00E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模型文件URL提供、下载接口实现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B1E898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前端组</w:t>
            </w:r>
          </w:p>
        </w:tc>
      </w:tr>
      <w:tr w14:paraId="07190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C5B791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Prompt 智能优化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374E9F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算法组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D74342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Prompt质量评估、LLM调用、启发式增强逻辑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29ABFE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前端组</w:t>
            </w:r>
          </w:p>
        </w:tc>
      </w:tr>
      <w:tr w14:paraId="1E4FA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393478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图像输入预处理/增强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F11CFC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算法组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5F4A85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IQAS评估、自适应增强算法、VIP流程实现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6FD8EF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前端组</w:t>
            </w:r>
          </w:p>
        </w:tc>
      </w:tr>
      <w:tr w14:paraId="06779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CB7B67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Text-to-3D / Image-to-3D 核心生成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5387CB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算法组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C85C0D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底层3D模型调用、生成参数配置、结果处理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65EB6F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前端组</w:t>
            </w:r>
          </w:p>
        </w:tc>
      </w:tr>
      <w:tr w14:paraId="6501B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6BEDB1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后台管理 (用户/模型)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551234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后端组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CC4E74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管理员接口开发、用户/模型数据查询、审核逻辑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196A0B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前端组</w:t>
            </w:r>
          </w:p>
        </w:tc>
      </w:tr>
      <w:tr w14:paraId="3465A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671974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数据库设计与优化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0D3D0B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后端组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0F5E62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表结构设计、索引优化、SQL编写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4C82C8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(所有)</w:t>
            </w:r>
          </w:p>
        </w:tc>
      </w:tr>
      <w:tr w14:paraId="68831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2DA41B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Docker Compose 部署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88289A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前端组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63A6C7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docker-compose.yml 维护、容器网络配置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6F18E9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(所有)</w:t>
            </w:r>
          </w:p>
        </w:tc>
      </w:tr>
      <w:tr w14:paraId="65B27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355C47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性能优化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62EA83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后端组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BAEA49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线程池/连接池配置、接口限流实现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4DEC00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(所有)</w:t>
            </w:r>
          </w:p>
        </w:tc>
      </w:tr>
      <w:tr w14:paraId="0F703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769654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数据安全 (加密/事务)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8B52F9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后端组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855005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密码加密、HTTPS配置、事务管理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EB9995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(所有)</w:t>
            </w:r>
          </w:p>
        </w:tc>
      </w:tr>
    </w:tbl>
    <w:p w14:paraId="5AC70249">
      <w:pPr>
        <w:pStyle w:val="3"/>
        <w:bidi w:val="0"/>
      </w:pPr>
      <w:bookmarkStart w:id="32" w:name="_Toc26134"/>
      <w:r>
        <w:rPr>
          <w:rFonts w:hint="eastAsia"/>
          <w:lang w:val="en-US" w:eastAsia="zh-CN"/>
        </w:rPr>
        <w:t>7</w:t>
      </w:r>
      <w:r>
        <w:t>.3 里程碑计划</w:t>
      </w:r>
      <w:bookmarkEnd w:id="32"/>
    </w:p>
    <w:p w14:paraId="5B4D6180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Day 1-2: 基础架构搭建</w:t>
      </w:r>
    </w:p>
    <w:p w14:paraId="61C3A4E7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Nginx 配置完成，实现前端静态资源服务和后端 API 路由。</w:t>
      </w:r>
    </w:p>
    <w:p w14:paraId="2DED115F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数据库初始化，创建基本用户表和模型元数据表。</w:t>
      </w:r>
    </w:p>
    <w:p w14:paraId="60AEC4C1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前后端基本联通测试。</w:t>
      </w:r>
    </w:p>
    <w:p w14:paraId="7C7F2A0E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Day 3-6: 核心模块开发</w:t>
      </w:r>
    </w:p>
    <w:p w14:paraId="112B4E7C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用户管理: 完成用户注册、登录、Token 认证 API 及前端界面。</w:t>
      </w:r>
    </w:p>
    <w:p w14:paraId="684F8351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AI服务骨架: 实现基础的Prompt优化和图像预处理接口。</w:t>
      </w:r>
    </w:p>
    <w:p w14:paraId="27655EE6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任务提交: 完成3D模型生成任务的提交 API，记录任务状态。</w:t>
      </w:r>
    </w:p>
    <w:p w14:paraId="29A59473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前端: 完成任务提交页面和任务列表页面的基础布局。</w:t>
      </w:r>
    </w:p>
    <w:p w14:paraId="313389C9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Day 5-6: 测试与优化</w:t>
      </w:r>
    </w:p>
    <w:p w14:paraId="6DA687A9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对已完成的核心模块进行单元测试和接口测试。</w:t>
      </w:r>
    </w:p>
    <w:p w14:paraId="5120B2DC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进行初步性能测试，识别瓶颈。</w:t>
      </w:r>
    </w:p>
    <w:p w14:paraId="1FE60A0C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根据测试结果进行代码重构和优化。</w:t>
      </w:r>
    </w:p>
    <w:p w14:paraId="2FFFBF44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Day 6-7: 前后端联调</w:t>
      </w:r>
    </w:p>
    <w:p w14:paraId="6A65EEA8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完成前端与后端之间所有 API 的联调，确保数据传输和功能逻辑正确。</w:t>
      </w:r>
    </w:p>
    <w:p w14:paraId="20029ACB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集成 Prompt 优化和图像预处理到前端提交流程。</w:t>
      </w:r>
    </w:p>
    <w:p w14:paraId="2B818953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实现模型生成任务状态的实时刷新。</w:t>
      </w:r>
    </w:p>
    <w:p w14:paraId="0FBD596D">
      <w:pPr>
        <w:keepNext w:val="0"/>
        <w:keepLines w:val="0"/>
        <w:widowControl/>
        <w:suppressLineNumbers w:val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Day 7: 部署上线</w:t>
      </w:r>
    </w:p>
    <w:p w14:paraId="4D4E3C78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完成 </w:t>
      </w:r>
      <w:r>
        <w:rPr>
          <w:rStyle w:val="1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docker-compose.yml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配置，实现前后端、数据库的容器化运行。</w:t>
      </w:r>
    </w:p>
    <w:p w14:paraId="37FE215E">
      <w:pPr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完成所有服务的部署配置和测试。项目内部发布上线。</w:t>
      </w:r>
    </w:p>
    <w:p w14:paraId="63F34E2A">
      <w:pPr>
        <w:pStyle w:val="2"/>
        <w:bidi w:val="0"/>
      </w:pPr>
      <w:bookmarkStart w:id="33" w:name="_Toc17614"/>
      <w:r>
        <w:t>8. 展望</w:t>
      </w:r>
      <w:bookmarkEnd w:id="33"/>
    </w:p>
    <w:p w14:paraId="62D639D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Gen3D Force项目具有巨大的发展潜力，未来可从以下几个方面进行规划和拓展：</w:t>
      </w:r>
    </w:p>
    <w:p w14:paraId="4F1A29C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 模型能力持续提升:</w:t>
      </w:r>
    </w:p>
    <w:p w14:paraId="0EEABCCB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ind w:left="84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持续研究和集成更先进的3D生成模型，提升生成模型的细节、真实感和多样性。</w:t>
      </w:r>
    </w:p>
    <w:p w14:paraId="7C60A2E9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ind w:left="84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实现更精细的3D模型编辑功能（如姿态调整、材质替换），增强用户控制力。</w:t>
      </w:r>
    </w:p>
    <w:p w14:paraId="5581518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社区生态建设:</w:t>
      </w:r>
    </w:p>
    <w:p w14:paraId="5B6AC451">
      <w:pPr>
        <w:keepNext w:val="0"/>
        <w:keepLines w:val="0"/>
        <w:widowControl/>
        <w:numPr>
          <w:ilvl w:val="0"/>
          <w:numId w:val="19"/>
        </w:numPr>
        <w:suppressLineNumbers w:val="0"/>
        <w:ind w:left="84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增加模型评论、评分、排行榜等社交互动功能。</w:t>
      </w:r>
    </w:p>
    <w:p w14:paraId="4C9F65BE">
      <w:pPr>
        <w:keepNext w:val="0"/>
        <w:keepLines w:val="0"/>
        <w:widowControl/>
        <w:numPr>
          <w:ilvl w:val="0"/>
          <w:numId w:val="19"/>
        </w:numPr>
        <w:suppressLineNumbers w:val="0"/>
        <w:ind w:left="84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引入创作者激励机制，鼓励高质量模型分享。</w:t>
      </w:r>
    </w:p>
    <w:p w14:paraId="5899903F">
      <w:pPr>
        <w:keepNext w:val="0"/>
        <w:keepLines w:val="0"/>
        <w:widowControl/>
        <w:numPr>
          <w:ilvl w:val="0"/>
          <w:numId w:val="19"/>
        </w:numPr>
        <w:suppressLineNumbers w:val="0"/>
        <w:ind w:left="84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举办3D模型生成挑战赛，提升社区活跃度。</w:t>
      </w:r>
    </w:p>
    <w:p w14:paraId="774C3FE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商业化探索:</w:t>
      </w:r>
    </w:p>
    <w:p w14:paraId="0D2727E5">
      <w:pPr>
        <w:keepNext w:val="0"/>
        <w:keepLines w:val="0"/>
        <w:widowControl/>
        <w:numPr>
          <w:ilvl w:val="0"/>
          <w:numId w:val="19"/>
        </w:numPr>
        <w:suppressLineNumbers w:val="0"/>
        <w:ind w:left="84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探索模型交易市场，允许用户出售或购买高质量的3D模型。</w:t>
      </w:r>
    </w:p>
    <w:p w14:paraId="20247747">
      <w:pPr>
        <w:keepNext w:val="0"/>
        <w:keepLines w:val="0"/>
        <w:widowControl/>
        <w:numPr>
          <w:ilvl w:val="0"/>
          <w:numId w:val="19"/>
        </w:numPr>
        <w:suppressLineNumbers w:val="0"/>
        <w:ind w:left="84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与行业伙伴合作，提供定制化3D生成解决方案。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990FB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1658F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11658F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9E824"/>
    <w:multiLevelType w:val="singleLevel"/>
    <w:tmpl w:val="8A89E824"/>
    <w:lvl w:ilvl="0" w:tentative="0">
      <w:start w:val="2"/>
      <w:numFmt w:val="decimal"/>
      <w:suff w:val="space"/>
      <w:lvlText w:val="(%1)"/>
      <w:lvlJc w:val="left"/>
    </w:lvl>
  </w:abstractNum>
  <w:abstractNum w:abstractNumId="1">
    <w:nsid w:val="8F9E1C5F"/>
    <w:multiLevelType w:val="singleLevel"/>
    <w:tmpl w:val="8F9E1C5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990A0863"/>
    <w:multiLevelType w:val="singleLevel"/>
    <w:tmpl w:val="990A086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695C00D"/>
    <w:multiLevelType w:val="singleLevel"/>
    <w:tmpl w:val="A695C0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AC495FF4"/>
    <w:multiLevelType w:val="singleLevel"/>
    <w:tmpl w:val="AC495F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D81857A5"/>
    <w:multiLevelType w:val="singleLevel"/>
    <w:tmpl w:val="D81857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607F222"/>
    <w:multiLevelType w:val="singleLevel"/>
    <w:tmpl w:val="E607F22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EE10DA1C"/>
    <w:multiLevelType w:val="singleLevel"/>
    <w:tmpl w:val="EE10DA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F5F332FE"/>
    <w:multiLevelType w:val="singleLevel"/>
    <w:tmpl w:val="F5F332F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FE5998A8"/>
    <w:multiLevelType w:val="singleLevel"/>
    <w:tmpl w:val="FE5998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01782D69"/>
    <w:multiLevelType w:val="singleLevel"/>
    <w:tmpl w:val="01782D6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0E27EEF7"/>
    <w:multiLevelType w:val="singleLevel"/>
    <w:tmpl w:val="0E27EE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32DCBDE"/>
    <w:multiLevelType w:val="singleLevel"/>
    <w:tmpl w:val="232DCB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C34B572"/>
    <w:multiLevelType w:val="multilevel"/>
    <w:tmpl w:val="2C34B5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4">
    <w:nsid w:val="2E9F54AC"/>
    <w:multiLevelType w:val="singleLevel"/>
    <w:tmpl w:val="2E9F54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38A17DEA"/>
    <w:multiLevelType w:val="multilevel"/>
    <w:tmpl w:val="38A17D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6">
    <w:nsid w:val="3FD32DDF"/>
    <w:multiLevelType w:val="singleLevel"/>
    <w:tmpl w:val="3FD32DD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4741DBC6"/>
    <w:multiLevelType w:val="singleLevel"/>
    <w:tmpl w:val="4741DBC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7E8AA550"/>
    <w:multiLevelType w:val="singleLevel"/>
    <w:tmpl w:val="7E8AA5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13"/>
  </w:num>
  <w:num w:numId="3">
    <w:abstractNumId w:val="15"/>
  </w:num>
  <w:num w:numId="4">
    <w:abstractNumId w:val="1"/>
  </w:num>
  <w:num w:numId="5">
    <w:abstractNumId w:val="7"/>
  </w:num>
  <w:num w:numId="6">
    <w:abstractNumId w:val="18"/>
  </w:num>
  <w:num w:numId="7">
    <w:abstractNumId w:val="8"/>
  </w:num>
  <w:num w:numId="8">
    <w:abstractNumId w:val="14"/>
  </w:num>
  <w:num w:numId="9">
    <w:abstractNumId w:val="11"/>
  </w:num>
  <w:num w:numId="10">
    <w:abstractNumId w:val="12"/>
  </w:num>
  <w:num w:numId="11">
    <w:abstractNumId w:val="2"/>
  </w:num>
  <w:num w:numId="12">
    <w:abstractNumId w:val="16"/>
  </w:num>
  <w:num w:numId="13">
    <w:abstractNumId w:val="5"/>
  </w:num>
  <w:num w:numId="14">
    <w:abstractNumId w:val="4"/>
  </w:num>
  <w:num w:numId="15">
    <w:abstractNumId w:val="9"/>
  </w:num>
  <w:num w:numId="16">
    <w:abstractNumId w:val="0"/>
  </w:num>
  <w:num w:numId="17">
    <w:abstractNumId w:val="17"/>
  </w:num>
  <w:num w:numId="18">
    <w:abstractNumId w:val="10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C7319"/>
    <w:rsid w:val="02110B3C"/>
    <w:rsid w:val="02B028EA"/>
    <w:rsid w:val="03165668"/>
    <w:rsid w:val="05681A7F"/>
    <w:rsid w:val="08940DDD"/>
    <w:rsid w:val="09067414"/>
    <w:rsid w:val="0A6775FD"/>
    <w:rsid w:val="0B0C5577"/>
    <w:rsid w:val="0C2C3059"/>
    <w:rsid w:val="0D34124A"/>
    <w:rsid w:val="0E4137B5"/>
    <w:rsid w:val="0FB029A1"/>
    <w:rsid w:val="11386E78"/>
    <w:rsid w:val="11A958FA"/>
    <w:rsid w:val="121C60CC"/>
    <w:rsid w:val="13C7650B"/>
    <w:rsid w:val="13E254AD"/>
    <w:rsid w:val="14276FAA"/>
    <w:rsid w:val="157079BA"/>
    <w:rsid w:val="17332912"/>
    <w:rsid w:val="186C1D3C"/>
    <w:rsid w:val="188C7DF8"/>
    <w:rsid w:val="1AC95EA6"/>
    <w:rsid w:val="1BCC5F61"/>
    <w:rsid w:val="21804FF5"/>
    <w:rsid w:val="219A321D"/>
    <w:rsid w:val="21A12149"/>
    <w:rsid w:val="22557E77"/>
    <w:rsid w:val="22A75E85"/>
    <w:rsid w:val="23825BD1"/>
    <w:rsid w:val="285C326E"/>
    <w:rsid w:val="2B231E21"/>
    <w:rsid w:val="2C595B41"/>
    <w:rsid w:val="2CBB7012"/>
    <w:rsid w:val="2D314CC9"/>
    <w:rsid w:val="2E3859E0"/>
    <w:rsid w:val="2F4131BE"/>
    <w:rsid w:val="32711601"/>
    <w:rsid w:val="3428494C"/>
    <w:rsid w:val="345D63A4"/>
    <w:rsid w:val="352C6EA7"/>
    <w:rsid w:val="37197C52"/>
    <w:rsid w:val="37A84760"/>
    <w:rsid w:val="38060B00"/>
    <w:rsid w:val="38994E94"/>
    <w:rsid w:val="38A10829"/>
    <w:rsid w:val="39927671"/>
    <w:rsid w:val="3A436EC2"/>
    <w:rsid w:val="3AD84799"/>
    <w:rsid w:val="3B2A5766"/>
    <w:rsid w:val="3C8A42BF"/>
    <w:rsid w:val="3CF17FD1"/>
    <w:rsid w:val="3D6921C7"/>
    <w:rsid w:val="3EB07A18"/>
    <w:rsid w:val="3F1D32FF"/>
    <w:rsid w:val="3F3F23E2"/>
    <w:rsid w:val="3F851680"/>
    <w:rsid w:val="41353EC3"/>
    <w:rsid w:val="41FF6860"/>
    <w:rsid w:val="426661FC"/>
    <w:rsid w:val="42B15EAB"/>
    <w:rsid w:val="43C34FE4"/>
    <w:rsid w:val="453F3B2A"/>
    <w:rsid w:val="457E261E"/>
    <w:rsid w:val="45A73098"/>
    <w:rsid w:val="46250CEB"/>
    <w:rsid w:val="468B1848"/>
    <w:rsid w:val="46CC785A"/>
    <w:rsid w:val="46E8317B"/>
    <w:rsid w:val="48107A9F"/>
    <w:rsid w:val="49964301"/>
    <w:rsid w:val="4A174DEF"/>
    <w:rsid w:val="4AE616BF"/>
    <w:rsid w:val="4B022E83"/>
    <w:rsid w:val="4B0F610D"/>
    <w:rsid w:val="4BDE2CB5"/>
    <w:rsid w:val="4C32539B"/>
    <w:rsid w:val="4DF608B7"/>
    <w:rsid w:val="4EEE25C2"/>
    <w:rsid w:val="4F7C7BCE"/>
    <w:rsid w:val="502A762A"/>
    <w:rsid w:val="507E1AAB"/>
    <w:rsid w:val="50AD6BE4"/>
    <w:rsid w:val="52301F38"/>
    <w:rsid w:val="54A906DB"/>
    <w:rsid w:val="56850FC1"/>
    <w:rsid w:val="56E952B6"/>
    <w:rsid w:val="59125592"/>
    <w:rsid w:val="5A3C363B"/>
    <w:rsid w:val="5AC23B1A"/>
    <w:rsid w:val="5C13779B"/>
    <w:rsid w:val="5CD76321"/>
    <w:rsid w:val="5D7B4BA8"/>
    <w:rsid w:val="5E6F4DA2"/>
    <w:rsid w:val="5E7A79CF"/>
    <w:rsid w:val="60275934"/>
    <w:rsid w:val="62B735F4"/>
    <w:rsid w:val="68104B84"/>
    <w:rsid w:val="68AC68D5"/>
    <w:rsid w:val="6BF47448"/>
    <w:rsid w:val="6DBE53FE"/>
    <w:rsid w:val="6E9323E7"/>
    <w:rsid w:val="6EFC065A"/>
    <w:rsid w:val="6F426C85"/>
    <w:rsid w:val="73B52AE3"/>
    <w:rsid w:val="73C66DBA"/>
    <w:rsid w:val="73CA12F6"/>
    <w:rsid w:val="74107D6C"/>
    <w:rsid w:val="741E4477"/>
    <w:rsid w:val="743659D5"/>
    <w:rsid w:val="744F700A"/>
    <w:rsid w:val="754F7DE8"/>
    <w:rsid w:val="76A86788"/>
    <w:rsid w:val="76AA29C3"/>
    <w:rsid w:val="76E6521D"/>
    <w:rsid w:val="793D75E1"/>
    <w:rsid w:val="7BBF2A6D"/>
    <w:rsid w:val="7C95774C"/>
    <w:rsid w:val="7D4274B2"/>
    <w:rsid w:val="7D6E2EA6"/>
    <w:rsid w:val="7E913BF2"/>
    <w:rsid w:val="7F67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0" w:firstLineChars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beforeLines="0" w:beforeAutospacing="0" w:after="240" w:afterLines="0" w:afterAutospacing="0" w:line="560" w:lineRule="exact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spacing w:before="120" w:beforeAutospacing="0" w:after="120" w:afterAutospacing="0" w:line="500" w:lineRule="exact"/>
      <w:jc w:val="left"/>
      <w:outlineLvl w:val="1"/>
    </w:pPr>
    <w:rPr>
      <w:rFonts w:eastAsia="黑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Autospacing="0" w:after="120" w:afterAutospacing="0" w:line="360" w:lineRule="auto"/>
      <w:jc w:val="left"/>
      <w:outlineLvl w:val="2"/>
    </w:pPr>
    <w:rPr>
      <w:rFonts w:hint="eastAsia" w:ascii="宋体" w:hAnsi="宋体" w:cs="宋体"/>
      <w:b/>
      <w:bCs/>
      <w:kern w:val="0"/>
      <w:sz w:val="27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default" w:ascii="Times New Roman" w:hAnsi="Times New Roman" w:cs="宋体"/>
      <w:b/>
      <w:bCs/>
      <w:kern w:val="0"/>
      <w:lang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microsoft.com/office/2006/relationships/keyMapCustomizations" Target="customizations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6045</Words>
  <Characters>7142</Characters>
  <Lines>0</Lines>
  <Paragraphs>0</Paragraphs>
  <TotalTime>57</TotalTime>
  <ScaleCrop>false</ScaleCrop>
  <LinksUpToDate>false</LinksUpToDate>
  <CharactersWithSpaces>7516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2024-06-20T08:13:00Z</dcterms:created>
  <dc:creator>Frank</dc:creator>
  <cp:lastModifiedBy>晓玖</cp:lastModifiedBy>
  <dcterms:modified xsi:type="dcterms:W3CDTF">2025-09-28T14:11:35Z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DE63D51EC6204B62B719C568AAF14F8E_12</vt:lpwstr>
  </property>
  <property fmtid="{D5CDD505-2E9C-101B-9397-08002B2CF9AE}" pid="4" name="KSOTemplateDocerSaveRecord">
    <vt:lpwstr>eyJoZGlkIjoiNDQ1MzBhZmIwNGExZjhkMDc2YjYyYTJkYjM0ZTkwMWMiLCJ1c2VySWQiOiIxMzcyMTU5NDcwIn0=</vt:lpwstr>
  </property>
</Properties>
</file>