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ASCR Workflow Playbook (English)</w:t>
      </w:r>
    </w:p>
    <w:p>
      <w:pPr>
        <w:jc w:val="left"/>
      </w:pPr>
      <w:r>
        <w:rPr>
          <w:i/>
          <w:color w:val="5A5A5A"/>
          <w:sz w:val="22"/>
        </w:rPr>
        <w:t>Execution-focused version with full alternating loop, prompts, state transitions, logging, benchmark construction, and prototype-to-method roadmap.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rPr>
          <w:trHeight w:val="120" w:hRule="exact"/>
        </w:trPr>
        <w:tc>
          <w:tcPr>
            <w:tcW w:type="dxa" w:w="9936"/>
            <w:shd w:fill="1F4E79"/>
          </w:tcPr>
          <w:p>
            <w:r/>
          </w:p>
        </w:tc>
      </w:tr>
    </w:tbl>
    <w:p/>
    <w:p>
      <w:pPr>
        <w:pStyle w:val="Heading1"/>
      </w:pPr>
      <w:r>
        <w:t>1. Document Purpose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What this version is for</w:t>
              <w:br/>
            </w:r>
            <w:r>
              <w:t>This document is an execution-focused ASCR workflow. It is intended to make implementation, debugging, data collection, benchmarking, and experimental iteration concrete enough that a research prototype can be built with low ambiguity.</w:t>
            </w:r>
          </w:p>
        </w:tc>
      </w:tr>
    </w:tbl>
    <w:p/>
    <w:p>
      <w:r>
        <w:t>Compared with the paper-framing version, this document goes deeper into: exact loop ordering, state variables, prompt I/O contracts, intermediate artifacts, logging, sanity checks, failure handling, benchmark creation, and how to transition from a zero-training prototype to a trainable selector.</w:t>
      </w:r>
    </w:p>
    <w:p>
      <w:pPr>
        <w:pStyle w:val="Heading1"/>
      </w:pPr>
      <w:r>
        <w:t>2. System Inputs, Outputs, and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3312"/>
        <w:gridCol w:w="3312"/>
        <w:gridCol w:w="3312"/>
      </w:tblGrid>
      <w:tr>
        <w:tc>
          <w:tcPr>
            <w:tcW w:type="dxa" w:w="180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Symbol / artifact</w:t>
            </w:r>
          </w:p>
        </w:tc>
        <w:tc>
          <w:tcPr>
            <w:tcW w:type="dxa" w:w="34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Meaning</w:t>
            </w:r>
          </w:p>
        </w:tc>
        <w:tc>
          <w:tcPr>
            <w:tcW w:type="dxa" w:w="309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Produced by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P_orig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Original text-to-image prompt.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 / benchmark.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Current 16×16 discrete image-token grid.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Generator state.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P_cur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Current correction-conditioned prompt.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Prompt composer.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I_mid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Decoded intermediate image.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Tokenizer decoder.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I_grid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Intermediate image with visible 4×4 overlay.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Grid overlay step.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A_eval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Semantic evaluation JSON.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Understanding path + Prompt A.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A_loc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Coarse localization JSON.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Understanding path + Prompt B.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M_conf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Low-confidence remask set.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Native Show-o denoising.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M_sem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Semantic reopening set.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Projection + dilation.</w:t>
            </w:r>
          </w:p>
        </w:tc>
      </w:tr>
      <w:t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log[k]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Per-cycle debug record.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Experiment logger.</w:t>
            </w:r>
          </w:p>
        </w:tc>
      </w:tr>
    </w:tbl>
    <w:p/>
    <w:p>
      <w:r>
        <w:t>At implementation time, treat ASCR as a state machine. Every outer cycle updates exactly three pieces of state: the token grid u, the current prompt P_cur, and the accumulated log. Everything else should be derived deterministically from these states.</w:t>
      </w:r>
    </w:p>
    <w:p>
      <w:pPr>
        <w:pStyle w:val="Heading1"/>
      </w:pPr>
      <w:r>
        <w:t>3. Full Alternating Loop</w:t>
      </w:r>
    </w:p>
    <w:p>
      <w:r>
        <w:t>The most important ordering decision is that confidence remask and semantic remask are alternating operators, not one merged action. A clean implementation uses an outer revision loop and a short inner native denoising loop.</w:t>
      </w:r>
    </w:p>
    <w:p>
      <w:pPr>
        <w:pStyle w:val="ListNumber"/>
      </w:pPr>
      <w:r>
        <w:t>Initialize u as all [MASK] tokens and set P_cur = P_orig.</w:t>
      </w:r>
    </w:p>
    <w:p>
      <w:pPr>
        <w:pStyle w:val="ListNumber"/>
      </w:pPr>
      <w:r>
        <w:t>Run a confidence block for m native denoising steps under P_cur.</w:t>
      </w:r>
    </w:p>
    <w:p>
      <w:pPr>
        <w:pStyle w:val="ListNumber"/>
      </w:pPr>
      <w:r>
        <w:t>Decode the intermediate token grid to I_mid.</w:t>
      </w:r>
    </w:p>
    <w:p>
      <w:pPr>
        <w:pStyle w:val="ListNumber"/>
      </w:pPr>
      <w:r>
        <w:t>Overlay a 4×4 visible grid to obtain I_grid.</w:t>
      </w:r>
    </w:p>
    <w:p>
      <w:pPr>
        <w:pStyle w:val="ListNumber"/>
      </w:pPr>
      <w:r>
        <w:t>Run Prompt A to obtain A_eval.</w:t>
      </w:r>
    </w:p>
    <w:p>
      <w:pPr>
        <w:pStyle w:val="ListNumber"/>
      </w:pPr>
      <w:r>
        <w:t>If A_eval.match = true, stop and return the current image.</w:t>
      </w:r>
    </w:p>
    <w:p>
      <w:pPr>
        <w:pStyle w:val="ListNumber"/>
      </w:pPr>
      <w:r>
        <w:t>Run Prompt B to obtain A_loc.</w:t>
      </w:r>
    </w:p>
    <w:p>
      <w:pPr>
        <w:pStyle w:val="ListNumber"/>
      </w:pPr>
      <w:r>
        <w:t>Project A_loc.grid_cells to 16×16 token cells.</w:t>
      </w:r>
    </w:p>
    <w:p>
      <w:pPr>
        <w:pStyle w:val="ListNumber"/>
      </w:pPr>
      <w:r>
        <w:t>Apply fixed one-token dilation to obtain M_sem.</w:t>
      </w:r>
    </w:p>
    <w:p>
      <w:pPr>
        <w:pStyle w:val="ListNumber"/>
      </w:pPr>
      <w:r>
        <w:t>Compose the correction prompt P_cur for the next cycle.</w:t>
      </w:r>
    </w:p>
    <w:p>
      <w:pPr>
        <w:pStyle w:val="ListNumber"/>
      </w:pPr>
      <w:r>
        <w:t>Force-mask M_sem in the current token grid.</w:t>
      </w:r>
    </w:p>
    <w:p>
      <w:pPr>
        <w:pStyle w:val="ListNumber"/>
      </w:pPr>
      <w:r>
        <w:t>Return to the next confidence block.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Do not merge the operators</w:t>
              <w:br/>
            </w:r>
            <w:r>
              <w:t>If semantic and confidence remasking are merged into one mixed action, analysis becomes weak: you can no longer cleanly attribute gains to uncertainty reduction versus semantic repair. Keep them separate in code and in plots.</w:t>
            </w:r>
          </w:p>
        </w:tc>
      </w:tr>
    </w:tbl>
    <w:p/>
    <w:p>
      <w:pPr>
        <w:pStyle w:val="Heading1"/>
      </w:pPr>
      <w:r>
        <w:t>4. Detailed State Transition Equations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Initial state:</w:t>
              <w:br/>
            </w:r>
            <w:r>
              <w:rPr>
                <w:rFonts w:ascii="Courier New" w:hAnsi="Courier New" w:eastAsia="Courier New"/>
                <w:sz w:val="17"/>
              </w:rPr>
              <w:t>u^(0) = [MASK]^(16×16)</w:t>
              <w:br/>
            </w:r>
            <w:r>
              <w:rPr>
                <w:rFonts w:ascii="Courier New" w:hAnsi="Courier New" w:eastAsia="Courier New"/>
                <w:sz w:val="17"/>
              </w:rPr>
              <w:t>P^(0) = P_orig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Confidence block:</w:t>
              <w:br/>
            </w:r>
            <w:r>
              <w:rPr>
                <w:rFonts w:ascii="Courier New" w:hAnsi="Courier New" w:eastAsia="Courier New"/>
                <w:sz w:val="17"/>
              </w:rPr>
              <w:t>u^(k+1/2) = C_m(u^(k), P^(k))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Intermediate rendering:</w:t>
              <w:br/>
            </w:r>
            <w:r>
              <w:rPr>
                <w:rFonts w:ascii="Courier New" w:hAnsi="Courier New" w:eastAsia="Courier New"/>
                <w:sz w:val="17"/>
              </w:rPr>
              <w:t>I^(k+1/2) = Decode(u^(k+1/2))</w:t>
              <w:br/>
            </w:r>
            <w:r>
              <w:rPr>
                <w:rFonts w:ascii="Courier New" w:hAnsi="Courier New" w:eastAsia="Courier New"/>
                <w:sz w:val="17"/>
              </w:rPr>
              <w:t>Î^(k+1/2) = Overlay_4×4(I^(k+1/2))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Semantic evaluation:</w:t>
              <w:br/>
            </w:r>
            <w:r>
              <w:rPr>
                <w:rFonts w:ascii="Courier New" w:hAnsi="Courier New" w:eastAsia="Courier New"/>
                <w:sz w:val="17"/>
              </w:rPr>
              <w:t>A_eval^(k) = Understand_eval(P_orig, Î^(k+1/2))</w:t>
              <w:br/>
            </w:r>
            <w:r>
              <w:rPr>
                <w:rFonts w:ascii="Courier New" w:hAnsi="Courier New" w:eastAsia="Courier New"/>
                <w:sz w:val="17"/>
              </w:rPr>
              <w:t>A_loc^(k)  = Understand_loc(P_orig, Î^(k+1/2), A_eval^(k))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Projection and reopening:</w:t>
              <w:br/>
            </w:r>
            <w:r>
              <w:rPr>
                <w:rFonts w:ascii="Courier New" w:hAnsi="Courier New" w:eastAsia="Courier New"/>
                <w:sz w:val="17"/>
              </w:rPr>
              <w:t>T^(k) = Π_{4→16}(A_loc^(k).grid_cells)</w:t>
              <w:br/>
            </w:r>
            <w:r>
              <w:rPr>
                <w:rFonts w:ascii="Courier New" w:hAnsi="Courier New" w:eastAsia="Courier New"/>
                <w:sz w:val="17"/>
              </w:rPr>
              <w:t>M_sem^(k) = Dilate(T^(k), r=1)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Prompt update:</w:t>
              <w:br/>
            </w:r>
            <w:r>
              <w:rPr>
                <w:rFonts w:ascii="Courier New" w:hAnsi="Courier New" w:eastAsia="Courier New"/>
                <w:sz w:val="17"/>
              </w:rPr>
              <w:t>P^(k+1) = Compose(P_orig, P_fix^(k), P_preserve)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Semantic reopening:</w:t>
              <w:br/>
            </w:r>
            <w:r>
              <w:rPr>
                <w:rFonts w:ascii="Courier New" w:hAnsi="Courier New" w:eastAsia="Courier New"/>
                <w:sz w:val="17"/>
              </w:rPr>
              <w:t>u^(k+1) = Mask(u^(k+1/2), M_sem^(k))</w:t>
              <w:br/>
            </w:r>
          </w:p>
        </w:tc>
      </w:tr>
    </w:tbl>
    <w:p/>
    <w:p>
      <w:r>
        <w:t>Keep P_orig constant across all cycles. Only P_cur changes. This is important because the semantic judge should always evaluate against the original user intent, not against a drifting self-generated paraphrase.</w:t>
      </w:r>
    </w:p>
    <w:p>
      <w:pPr>
        <w:pStyle w:val="Heading1"/>
      </w:pPr>
      <w:r>
        <w:t>5. Prompt Contracts and Failure Modes</w:t>
      </w:r>
    </w:p>
    <w:p>
      <w:r>
        <w:t>Treat each prompt as an API contract rather than a natural-language suggestion. The output format should be machine-parsable and conservative.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158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Prompt</w:t>
            </w:r>
          </w:p>
        </w:tc>
        <w:tc>
          <w:tcPr>
            <w:tcW w:type="dxa" w:w="230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  <w:tc>
          <w:tcPr>
            <w:tcW w:type="dxa" w:w="3240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Must-have fields</w:t>
            </w:r>
          </w:p>
        </w:tc>
        <w:tc>
          <w:tcPr>
            <w:tcW w:type="dxa" w:w="367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Failure fallback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Prompt A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Semantic evaluation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match, summary, errors, suggested_fix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If invalid JSON, retry once with stricter wrapper; else mark evaluation failure.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Prompt B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Coarse localization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match, grid_cells, localization_rationale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If invalid JSON or empty uncertain output, skip semantic reopening for that cycle.</w:t>
            </w:r>
          </w:p>
        </w:tc>
      </w:tr>
      <w:t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Prompt C</w:t>
            </w:r>
          </w:p>
        </w:tc>
        <w:tc>
          <w:tcPr>
            <w:tcW w:type="dxa" w:w="23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Correction composition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original prompt + fix + preserve clause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If fix is missing, use a generic fallback correction string.</w:t>
            </w:r>
          </w:p>
        </w:tc>
      </w:tr>
    </w:tbl>
    <w:p/>
    <w:p>
      <w:r>
        <w:t>A production-quality prototype should implement explicit parsers, schema validation, and fallback branches. Never let malformed outputs silently enter the remask stage.</w:t>
      </w:r>
    </w:p>
    <w:p>
      <w:pPr>
        <w:pStyle w:val="Heading1"/>
      </w:pPr>
      <w:r>
        <w:t>6. Prompt Templates</w:t>
      </w:r>
    </w:p>
    <w:p>
      <w:r>
        <w:t>Prompt A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You are evaluating an intermediate image generated from a text-to-image process.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Task:</w:t>
              <w:br/>
            </w:r>
            <w:r>
              <w:rPr>
                <w:rFonts w:ascii="Courier New" w:hAnsi="Courier New" w:eastAsia="Courier New"/>
                <w:sz w:val="17"/>
              </w:rPr>
              <w:t>1) Compare the image against the original prompt.</w:t>
              <w:br/>
            </w:r>
            <w:r>
              <w:rPr>
                <w:rFonts w:ascii="Courier New" w:hAnsi="Courier New" w:eastAsia="Courier New"/>
                <w:sz w:val="17"/>
              </w:rPr>
              <w:t>2) Decide whether the image currently matches the prompt.</w:t>
              <w:br/>
            </w:r>
            <w:r>
              <w:rPr>
                <w:rFonts w:ascii="Courier New" w:hAnsi="Courier New" w:eastAsia="Courier New"/>
                <w:sz w:val="17"/>
              </w:rPr>
              <w:t>3) If not, identify the main semantic errors.</w:t>
              <w:br/>
            </w:r>
            <w:r>
              <w:rPr>
                <w:rFonts w:ascii="Courier New" w:hAnsi="Courier New" w:eastAsia="Courier New"/>
                <w:sz w:val="17"/>
              </w:rPr>
              <w:t>4) Propose a short local correction instruction.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Rules:</w:t>
              <w:br/>
            </w:r>
            <w:r>
              <w:rPr>
                <w:rFonts w:ascii="Courier New" w:hAnsi="Courier New" w:eastAsia="Courier New"/>
                <w:sz w:val="17"/>
              </w:rPr>
              <w:t>- Read the visible 4x4 grid labels drawn on the image, but do NOT output grid cells in this step.</w:t>
              <w:br/>
            </w:r>
            <w:r>
              <w:rPr>
                <w:rFonts w:ascii="Courier New" w:hAnsi="Courier New" w:eastAsia="Courier New"/>
                <w:sz w:val="17"/>
              </w:rPr>
              <w:t>- Focus on semantic errors that matter for final correctness: attribute, count, color, spatial relation, missing object, extra object, text/OCR, action/state.</w:t>
              <w:br/>
            </w:r>
            <w:r>
              <w:rPr>
                <w:rFonts w:ascii="Courier New" w:hAnsi="Courier New" w:eastAsia="Courier New"/>
                <w:sz w:val="17"/>
              </w:rPr>
              <w:t>- Be conservative. If uncertain, say so.</w:t>
              <w:br/>
            </w:r>
            <w:r>
              <w:rPr>
                <w:rFonts w:ascii="Courier New" w:hAnsi="Courier New" w:eastAsia="Courier New"/>
                <w:sz w:val="17"/>
              </w:rPr>
              <w:t>- Output valid JSON only. No extra text.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Return schema:</w:t>
              <w:br/>
            </w:r>
            <w:r>
              <w:rPr>
                <w:rFonts w:ascii="Courier New" w:hAnsi="Courier New" w:eastAsia="Courier New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"match": true_or_false,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"summary": "one-sentence assessment",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"errors": [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"type": "attribute | count | color | relation | missing_object | extra_object | text_ocr | action_state | other",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"object": "main object or region",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"issue": "what is wrong",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"severity": "low | medium | high",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"suggested_fix": "one short local edit instruction"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]</w:t>
              <w:br/>
            </w:r>
            <w:r>
              <w:rPr>
                <w:rFonts w:ascii="Courier New" w:hAnsi="Courier New" w:eastAsia="Courier New"/>
                <w:sz w:val="17"/>
              </w:rPr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Prompt A user payload:</w:t>
              <w:br/>
            </w: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"{P_orig}"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Please evaluate the attached intermediate image with the visible 4x4 grid.</w:t>
              <w:br/>
            </w:r>
            <w:r>
              <w:rPr>
                <w:rFonts w:ascii="Courier New" w:hAnsi="Courier New" w:eastAsia="Courier New"/>
                <w:sz w:val="17"/>
              </w:rPr>
              <w:t>Return JSON only.</w:t>
              <w:br/>
            </w:r>
          </w:p>
        </w:tc>
      </w:tr>
    </w:tbl>
    <w:p/>
    <w:p>
      <w:r>
        <w:t>Prompt B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You are localizing semantic errors on an intermediate image with a visible 4x4 grid.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Task:</w:t>
              <w:br/>
            </w:r>
            <w:r>
              <w:rPr>
                <w:rFonts w:ascii="Courier New" w:hAnsi="Courier New" w:eastAsia="Courier New"/>
                <w:sz w:val="17"/>
              </w:rPr>
              <w:t>1) Use the original prompt and the previous semantic evaluation.</w:t>
              <w:br/>
            </w:r>
            <w:r>
              <w:rPr>
                <w:rFonts w:ascii="Courier New" w:hAnsi="Courier New" w:eastAsia="Courier New"/>
                <w:sz w:val="17"/>
              </w:rPr>
              <w:t>2) Identify which 4x4 grid cells should be reopened and regenerated.</w:t>
              <w:br/>
            </w:r>
            <w:r>
              <w:rPr>
                <w:rFonts w:ascii="Courier New" w:hAnsi="Courier New" w:eastAsia="Courier New"/>
                <w:sz w:val="17"/>
              </w:rPr>
              <w:t>3) Only output coarse grid cells. Do not output 16x16 token cells.</w:t>
              <w:br/>
            </w:r>
            <w:r>
              <w:rPr>
                <w:rFonts w:ascii="Courier New" w:hAnsi="Courier New" w:eastAsia="Courier New"/>
                <w:sz w:val="17"/>
              </w:rPr>
              <w:t>4) If uncertain, output an empty list.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Rules:</w:t>
              <w:br/>
            </w:r>
            <w:r>
              <w:rPr>
                <w:rFonts w:ascii="Courier New" w:hAnsi="Courier New" w:eastAsia="Courier New"/>
                <w:sz w:val="17"/>
              </w:rPr>
              <w:t>- Valid grid coordinates are integers in [0,0] to [3,3].</w:t>
              <w:br/>
            </w:r>
            <w:r>
              <w:rPr>
                <w:rFonts w:ascii="Courier New" w:hAnsi="Courier New" w:eastAsia="Courier New"/>
                <w:sz w:val="17"/>
              </w:rPr>
              <w:t>- Return only cells that are directly relevant to fixing the error.</w:t>
              <w:br/>
            </w:r>
            <w:r>
              <w:rPr>
                <w:rFonts w:ascii="Courier New" w:hAnsi="Courier New" w:eastAsia="Courier New"/>
                <w:sz w:val="17"/>
              </w:rPr>
              <w:t>- For relation errors, you may include multiple cells covering both objects and the area between them.</w:t>
              <w:br/>
            </w:r>
            <w:r>
              <w:rPr>
                <w:rFonts w:ascii="Courier New" w:hAnsi="Courier New" w:eastAsia="Courier New"/>
                <w:sz w:val="17"/>
              </w:rPr>
              <w:t>- Output valid JSON only. No extra text.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Return schema:</w:t>
              <w:br/>
            </w:r>
            <w:r>
              <w:rPr>
                <w:rFonts w:ascii="Courier New" w:hAnsi="Courier New" w:eastAsia="Courier New"/>
                <w:sz w:val="17"/>
              </w:rPr>
              <w:t>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"match": true_or_false,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"grid_cells": [[r, c], ...],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"localization_rationale": "one short sentence"</w:t>
              <w:br/>
            </w:r>
            <w:r>
              <w:rPr>
                <w:rFonts w:ascii="Courier New" w:hAnsi="Courier New" w:eastAsia="Courier New"/>
                <w:sz w:val="17"/>
              </w:rPr>
              <w:t>}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Prompt B user payload:</w:t>
              <w:br/>
            </w: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"{P_orig}"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Previous semantic evaluation:</w:t>
              <w:br/>
            </w:r>
            <w:r>
              <w:rPr>
                <w:rFonts w:ascii="Courier New" w:hAnsi="Courier New" w:eastAsia="Courier New"/>
                <w:sz w:val="17"/>
              </w:rPr>
              <w:t>{A_eval_json}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Please localize the minimal set of 4x4 grid cells that should be reopened.</w:t>
              <w:br/>
            </w:r>
            <w:r>
              <w:rPr>
                <w:rFonts w:ascii="Courier New" w:hAnsi="Courier New" w:eastAsia="Courier New"/>
                <w:sz w:val="17"/>
              </w:rPr>
              <w:t>Return JSON only.</w:t>
              <w:br/>
            </w:r>
          </w:p>
        </w:tc>
      </w:tr>
    </w:tbl>
    <w:p/>
    <w:p>
      <w:r>
        <w:t>Prompt C template.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Original prompt:</w:t>
              <w:br/>
            </w:r>
            <w:r>
              <w:rPr>
                <w:rFonts w:ascii="Courier New" w:hAnsi="Courier New" w:eastAsia="Courier New"/>
                <w:sz w:val="17"/>
              </w:rPr>
              <w:t>{P_orig}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Local correction:</w:t>
              <w:br/>
            </w:r>
            <w:r>
              <w:rPr>
                <w:rFonts w:ascii="Courier New" w:hAnsi="Courier New" w:eastAsia="Courier New"/>
                <w:sz w:val="17"/>
              </w:rPr>
              <w:t>{P_fix}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Constraint:</w:t>
              <w:br/>
            </w:r>
            <w:r>
              <w:rPr>
                <w:rFonts w:ascii="Courier New" w:hAnsi="Courier New" w:eastAsia="Courier New"/>
                <w:sz w:val="17"/>
              </w:rPr>
              <w:t>Correct only the specified semantic error.</w:t>
              <w:br/>
            </w:r>
            <w:r>
              <w:rPr>
                <w:rFonts w:ascii="Courier New" w:hAnsi="Courier New" w:eastAsia="Courier New"/>
                <w:sz w:val="17"/>
              </w:rPr>
              <w:t>Preserve all other objects, style, background, lighting, color palette, and composition as much as possible.</w:t>
              <w:br/>
            </w:r>
          </w:p>
        </w:tc>
      </w:tr>
    </w:tbl>
    <w:p/>
    <w:p>
      <w:pPr>
        <w:pStyle w:val="Heading1"/>
      </w:pPr>
      <w:r>
        <w:t>7. Grid Overlay and Projection Details</w:t>
      </w:r>
    </w:p>
    <w:p>
      <w:r>
        <w:t>The 4×4 grid is a zero-training interface. Use it only to convert free-form localization into a constrained vocabulary.</w:t>
      </w:r>
    </w:p>
    <w:p>
      <w:pPr>
        <w:pStyle w:val="ListBullet"/>
        <w:ind w:left="0"/>
      </w:pPr>
      <w:r>
        <w:t>Image resolution assumption for the prototype: 256×256.</w:t>
      </w:r>
    </w:p>
    <w:p>
      <w:pPr>
        <w:pStyle w:val="ListBullet"/>
        <w:ind w:left="0"/>
      </w:pPr>
      <w:r>
        <w:t>Each 4×4 coarse cell covers 64×64 pixels.</w:t>
      </w:r>
    </w:p>
    <w:p>
      <w:pPr>
        <w:pStyle w:val="ListBullet"/>
        <w:ind w:left="0"/>
      </w:pPr>
      <w:r>
        <w:t>Each coarse cell maps exactly to a 4×4 block in the 16×16 token grid.</w:t>
      </w:r>
    </w:p>
    <w:p>
      <w:pPr>
        <w:pStyle w:val="ListBullet"/>
        <w:ind w:left="0"/>
      </w:pPr>
      <w:r>
        <w:t>All selected token cells receive a fixed one-token dilation.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def coarse4x4_to_token16x16(coarse_cells):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out = set()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scale = 4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for r, c in coarse_cells: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i in range(r * scale, (r + 1) * scale):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j in range(c * scale, (c + 1) * scale):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out.add((i, j))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return out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def dilate(token_cells, radius=1, H=16, W=16):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out = set()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for i, j in token_cells: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di in range(-radius, radius + 1):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for dj in range(-radius, radius + 1):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ni, nj = i + di, j + dj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if 0 &lt;= ni &lt; H and 0 &lt;= nj &lt; W: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    out.add((ni, nj))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return out</w:t>
              <w:br/>
            </w:r>
          </w:p>
        </w:tc>
      </w:tr>
    </w:tbl>
    <w:p/>
    <w:p>
      <w:r>
        <w:t>Use a fixed radius of one for the zero-training version. If relation errors require wider coverage, expand the selected coarse cells rather than increasing the dilation radius.</w:t>
      </w:r>
    </w:p>
    <w:p>
      <w:pPr>
        <w:pStyle w:val="Heading1"/>
      </w:pPr>
      <w:r>
        <w:t>8. Logging, Debug Records, and Reproducibility</w:t>
      </w:r>
    </w:p>
    <w:p>
      <w:r>
        <w:t>Every outer cycle should create a structured record. This is critical for debugging and for later paper figures.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log[k] = {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"cycle_id": k,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"prompt_current": P_cur,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"token_grid_before_semantic": serialize(u_half),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"intermediate_image_path": path_I_mid,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"grid_image_path": path_I_grid,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"A_eval": A_eval,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"A_loc": A_loc,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"M_conf": sorted(list(M_conf)),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"M_sem": sorted(list(M_sem)),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"fix_instruction": P_fix,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"match": A_eval["match"],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"notes": []</w:t>
              <w:br/>
            </w:r>
            <w:r>
              <w:rPr>
                <w:rFonts w:ascii="Courier New" w:hAnsi="Courier New" w:eastAsia="Courier New"/>
                <w:sz w:val="17"/>
              </w:rPr>
              <w:t>}</w:t>
              <w:br/>
            </w:r>
          </w:p>
        </w:tc>
      </w:tr>
    </w:tbl>
    <w:p/>
    <w:p>
      <w:pPr>
        <w:pStyle w:val="ListBullet"/>
        <w:ind w:left="0"/>
      </w:pPr>
      <w:r>
        <w:t>Save both the raw intermediate image and the gridded image.</w:t>
      </w:r>
    </w:p>
    <w:p>
      <w:pPr>
        <w:pStyle w:val="ListBullet"/>
        <w:ind w:left="0"/>
      </w:pPr>
      <w:r>
        <w:t>Persist raw model text before JSON parsing whenever possible.</w:t>
      </w:r>
    </w:p>
    <w:p>
      <w:pPr>
        <w:pStyle w:val="ListBullet"/>
        <w:ind w:left="0"/>
      </w:pPr>
      <w:r>
        <w:t>Save token-cell sets before and after dilation.</w:t>
      </w:r>
    </w:p>
    <w:p>
      <w:pPr>
        <w:pStyle w:val="ListBullet"/>
        <w:ind w:left="0"/>
      </w:pPr>
      <w:r>
        <w:t>Version prompts explicitly so benchmark results are reproducible.</w:t>
      </w:r>
    </w:p>
    <w:p>
      <w:pPr>
        <w:pStyle w:val="Heading1"/>
      </w:pPr>
      <w:r>
        <w:t>9. Sanity Checks Before Large Experiments</w:t>
      </w:r>
    </w:p>
    <w:p>
      <w:pPr>
        <w:pStyle w:val="ListNumber"/>
      </w:pPr>
      <w:r>
        <w:t>Run the full loop on 20–50 hand-picked prompts that clearly target relation, count, color, negation, binding, missing-object, and OCR failure modes.</w:t>
      </w:r>
    </w:p>
    <w:p>
      <w:pPr>
        <w:pStyle w:val="ListNumber"/>
      </w:pPr>
      <w:r>
        <w:t>Manually inspect whether Prompt A correctly identifies the error category.</w:t>
      </w:r>
    </w:p>
    <w:p>
      <w:pPr>
        <w:pStyle w:val="ListNumber"/>
      </w:pPr>
      <w:r>
        <w:t>Check whether Prompt B returns empty lists when uncertain rather than hallucinated coordinates.</w:t>
      </w:r>
    </w:p>
    <w:p>
      <w:pPr>
        <w:pStyle w:val="ListNumber"/>
      </w:pPr>
      <w:r>
        <w:t>Verify that coarse-cell projection hits the intended token area by visualizing the remasked cells back on the image.</w:t>
      </w:r>
    </w:p>
    <w:p>
      <w:pPr>
        <w:pStyle w:val="ListNumber"/>
      </w:pPr>
      <w:r>
        <w:t>Confirm that semantic reopening does not destroy already-correct regions too often.</w:t>
      </w:r>
    </w:p>
    <w:p>
      <w:pPr>
        <w:pStyle w:val="ListNumber"/>
      </w:pPr>
      <w:r>
        <w:t>Measure how often alternating C↔S corrects cases that C-only cannot.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Prototype acceptance criterion</w:t>
              <w:br/>
            </w:r>
            <w:r>
              <w:t>The prototype is worth scaling only if it consistently improves targeted semantic subsets while keeping collateral damage to already-correct regions small.</w:t>
            </w:r>
          </w:p>
        </w:tc>
      </w:tr>
    </w:tbl>
    <w:p/>
    <w:p>
      <w:pPr>
        <w:pStyle w:val="Heading1"/>
      </w:pPr>
      <w:r>
        <w:t>10. Benchmark Construction Workflow</w:t>
      </w:r>
    </w:p>
    <w:p>
      <w:r>
        <w:t>To build a benchmark specifically for confidence–semantic inconsistency, start from a curated prompt suite with known semantic traps.</w:t>
      </w:r>
    </w:p>
    <w:p>
      <w:pPr>
        <w:pStyle w:val="ListNumber"/>
      </w:pPr>
      <w:r>
        <w:t>Collect or write prompt templates for relation, count, negation, color, binding, missing/extra object, and OCR mismatch.</w:t>
      </w:r>
    </w:p>
    <w:p>
      <w:pPr>
        <w:pStyle w:val="ListNumber"/>
      </w:pPr>
      <w:r>
        <w:t>Instantiate diverse concrete prompts from each template.</w:t>
      </w:r>
    </w:p>
    <w:p>
      <w:pPr>
        <w:pStyle w:val="ListNumber"/>
      </w:pPr>
      <w:r>
        <w:t>Generate images with the native model and tag outputs by error type.</w:t>
      </w:r>
    </w:p>
    <w:p>
      <w:pPr>
        <w:pStyle w:val="ListNumber"/>
      </w:pPr>
      <w:r>
        <w:t>Identify cases where images are visually plausible but semantically wrong.</w:t>
      </w:r>
    </w:p>
    <w:p>
      <w:pPr>
        <w:pStyle w:val="ListNumber"/>
      </w:pPr>
      <w:r>
        <w:t>Label locality class: local, multi-region, or global.</w:t>
      </w:r>
    </w:p>
    <w:p>
      <w:pPr>
        <w:pStyle w:val="ListNumber"/>
      </w:pPr>
      <w:r>
        <w:t>Store expected repair mode so evaluation can later separate local repair from global restart cases.</w:t>
      </w:r>
    </w:p>
    <w:p>
      <w:r>
        <w:t>This benchmark should not merely score final images; it should also support diagnosing when native confidence dynamics appear stable despite semantic mismatch.</w:t>
      </w:r>
    </w:p>
    <w:p>
      <w:pPr>
        <w:pStyle w:val="Heading1"/>
      </w:pPr>
      <w:r>
        <w:t>11. Strong Baselines and Experimental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5D9F1"/>
          <w:left w:val="single" w:sz="6" w:space="0" w:color="C5D9F1"/>
          <w:bottom w:val="single" w:sz="6" w:space="0" w:color="C5D9F1"/>
          <w:right w:val="single" w:sz="6" w:space="0" w:color="C5D9F1"/>
          <w:insideH w:val="single" w:sz="6" w:space="0" w:color="C5D9F1"/>
          <w:insideV w:val="single" w:sz="6" w:space="0" w:color="C5D9F1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23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16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Extra compute</w:t>
            </w:r>
          </w:p>
        </w:tc>
        <w:tc>
          <w:tcPr>
            <w:tcW w:type="dxa" w:w="165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Locality aware</w:t>
            </w:r>
          </w:p>
        </w:tc>
        <w:tc>
          <w:tcPr>
            <w:tcW w:type="dxa" w:w="3096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Can repair without global restart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C-only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Low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Limited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S-only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C↔S alternating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Whole-image retry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Medium–high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Best-of-N + rerank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High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Verifier-only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direct repair</w:t>
            </w:r>
          </w:p>
        </w:tc>
      </w:tr>
      <w:t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Inpainting-only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Medium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Partially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Yes if the edit region is known</w:t>
            </w:r>
          </w:p>
        </w:tc>
      </w:tr>
    </w:tbl>
    <w:p/>
    <w:p>
      <w:r>
        <w:t>Report not only final benchmark scores but also revision efficiency: semantic gain per additional outer cycle, compute-normalized correction rate, and collateral-damage rate to already-correct regions.</w:t>
      </w:r>
    </w:p>
    <w:p>
      <w:pPr>
        <w:pStyle w:val="Heading1"/>
      </w:pPr>
      <w:r>
        <w:t>12. Pseudocode for a Practical Prototype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36"/>
      </w:tblGrid>
      <w:tr>
        <w:tc>
          <w:tcPr>
            <w:tcW w:type="dxa" w:w="9936"/>
            <w:shd w:fill="F7F7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line="240" w:lineRule="auto"/>
            </w:pPr>
            <w:r>
              <w:rPr>
                <w:rFonts w:ascii="Courier New" w:hAnsi="Courier New" w:eastAsia="Courier New"/>
                <w:sz w:val="17"/>
              </w:rPr>
              <w:t>u = all_mask_tokens()</w:t>
              <w:br/>
            </w:r>
            <w:r>
              <w:rPr>
                <w:rFonts w:ascii="Courier New" w:hAnsi="Courier New" w:eastAsia="Courier New"/>
                <w:sz w:val="17"/>
              </w:rPr>
              <w:t>P_orig = user_prompt</w:t>
              <w:br/>
            </w:r>
            <w:r>
              <w:rPr>
                <w:rFonts w:ascii="Courier New" w:hAnsi="Courier New" w:eastAsia="Courier New"/>
                <w:sz w:val="17"/>
              </w:rPr>
              <w:t>P_cur = P_orig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K_max = 6</w:t>
              <w:br/>
            </w:r>
            <w:r>
              <w:rPr>
                <w:rFonts w:ascii="Courier New" w:hAnsi="Courier New" w:eastAsia="Courier New"/>
                <w:sz w:val="17"/>
              </w:rPr>
              <w:t>m_conf = 2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for k in range(K_max):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1) Confidence block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for _ in range(m_conf):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logits, conf = showo_generate_step(P_cur, u)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u = fill_masked_positions(u, logits)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M_conf = low_confidence_remask(conf)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u = force_mask(u, M_conf)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2) Render and evaluate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I_mid = decode_tokens_to_image(u)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I_grid = overlay_4x4_grid(I_mid)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A_eval = showo_understand_eval(P_orig, I_grid)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if A_eval["match"] is True: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break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3) Localize and reopen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A_loc = showo_understand_localize(P_orig, I_grid, A_eval)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coarse_cells = A_loc["grid_cells"]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if not coarse_cells: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continue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token_cells = coarse4x4_to_token16x16(coarse_cells)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M_sem = dilate(token_cells, radius=1)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4) Update correction prompt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P_fix = compose_fix_from_eval(A_eval)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P_cur = compose_correction_prompt(P_orig, P_fix)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# 5) Semantic reopening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u = force_mask(u, M_sem)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I_final = decode_tokens_to_image(u)</w:t>
              <w:br/>
            </w:r>
          </w:p>
        </w:tc>
      </w:tr>
    </w:tbl>
    <w:p/>
    <w:p>
      <w:r>
        <w:t>If malformed JSON is common, add a wrapper that retries Prompt A or Prompt B with a stricter system prompt and the previous invalid response appended for self-correction.</w:t>
      </w:r>
    </w:p>
    <w:p>
      <w:pPr>
        <w:pStyle w:val="Heading1"/>
      </w:pPr>
      <w:r>
        <w:t>13. Error Handling and Fallback Logic</w:t>
      </w:r>
    </w:p>
    <w:p>
      <w:pPr>
        <w:pStyle w:val="ListBullet"/>
        <w:ind w:left="0"/>
      </w:pPr>
      <w:r>
        <w:t>Invalid JSON: retry once with a stricter wrapper; if still invalid, mark the cycle as semantic-eval failure and continue with one more confidence block.</w:t>
      </w:r>
    </w:p>
    <w:p>
      <w:pPr>
        <w:pStyle w:val="ListBullet"/>
        <w:ind w:left="0"/>
      </w:pPr>
      <w:r>
        <w:t>Empty grid_cells with match=false: treat as abstention; continue with confidence-only or stop after repeated abstentions.</w:t>
      </w:r>
    </w:p>
    <w:p>
      <w:pPr>
        <w:pStyle w:val="ListBullet"/>
        <w:ind w:left="0"/>
      </w:pPr>
      <w:r>
        <w:t>Over-aggressive edits: if semantic reopening repeatedly damages already-correct structure, reduce m_conf or cap the number of reopened coarse cells.</w:t>
      </w:r>
    </w:p>
    <w:p>
      <w:pPr>
        <w:pStyle w:val="ListBullet"/>
        <w:ind w:left="0"/>
      </w:pPr>
      <w:r>
        <w:t>Prompt drift: always evaluate against P_orig, not against P_cur.</w:t>
      </w:r>
    </w:p>
    <w:p>
      <w:pPr>
        <w:pStyle w:val="ListBullet"/>
        <w:ind w:left="0"/>
      </w:pPr>
      <w:r>
        <w:t>Oscillation: stop if the same error pattern recurs over multiple cycles without measurable gain.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6" w:space="0" w:color="B4C7E7"/>
          <w:insideV w:val="single" w:sz="6" w:space="0" w:color="B4C7E7"/>
        </w:tblBorders>
      </w:tblPr>
      <w:tblGrid>
        <w:gridCol w:w="9936"/>
      </w:tblGrid>
      <w:tr>
        <w:tc>
          <w:tcPr>
            <w:tcW w:type="dxa" w:w="993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>Conservative behavior is a feature</w:t>
              <w:br/>
            </w:r>
            <w:r>
              <w:t>The zero-training version should prefer abstaining to hallucinating localization. High precision is more valuable than broad but noisy reopening in the first prototype.</w:t>
            </w:r>
          </w:p>
        </w:tc>
      </w:tr>
    </w:tbl>
    <w:p/>
    <w:p>
      <w:pPr>
        <w:pStyle w:val="Heading1"/>
      </w:pPr>
      <w:r>
        <w:t>14. From Prototype to Main-Conference System</w:t>
      </w:r>
    </w:p>
    <w:p>
      <w:r>
        <w:t>A compelling paper path is two-stage.</w:t>
      </w:r>
    </w:p>
    <w:p>
      <w:pPr>
        <w:pStyle w:val="ListNumber"/>
      </w:pPr>
      <w:r>
        <w:t>Stage A: zero-training ASCR validates the failure mode and the selective reopening principle.</w:t>
      </w:r>
    </w:p>
    <w:p>
      <w:pPr>
        <w:pStyle w:val="ListNumber"/>
      </w:pPr>
      <w:r>
        <w:t>Stage B: a lightweight learned selector predicts token-level semantic reopening scores and removes the need for a visible grid or heavily constrained prompts.</w:t>
      </w:r>
    </w:p>
    <w:p>
      <w:r>
        <w:t>In Stage B, use the zero-training loop as a teacher signal generator: collect (prompt, intermediate state, coarse localization, correction outcome) tuples and train a learned selector to imitate or improve on the zero-training policy. This creates a natural bridge from prototype to method.</w:t>
      </w:r>
    </w:p>
    <w:p>
      <w:pPr>
        <w:pStyle w:val="Heading1"/>
      </w:pPr>
      <w:r>
        <w:t>15. Suggested Figure and Table Package for the Paper</w:t>
      </w:r>
    </w:p>
    <w:p>
      <w:pPr>
        <w:pStyle w:val="ListBullet"/>
        <w:ind w:left="0"/>
      </w:pPr>
      <w:r>
        <w:t>Figure 1: illustration of confidence–semantic inconsistency during discrete masked denoising.</w:t>
      </w:r>
    </w:p>
    <w:p>
      <w:pPr>
        <w:pStyle w:val="ListBullet"/>
        <w:ind w:left="0"/>
      </w:pPr>
      <w:r>
        <w:t>Figure 2: ASCR outer-loop diagram showing alternating confidence and semantic blocks.</w:t>
      </w:r>
    </w:p>
    <w:p>
      <w:pPr>
        <w:pStyle w:val="ListBullet"/>
        <w:ind w:left="0"/>
      </w:pPr>
      <w:r>
        <w:t>Figure 3: example trajectories where C-only fails but C↔S alternating succeeds.</w:t>
      </w:r>
    </w:p>
    <w:p>
      <w:pPr>
        <w:pStyle w:val="ListBullet"/>
        <w:ind w:left="0"/>
      </w:pPr>
      <w:r>
        <w:t>Table 1: benchmark subsets centered on semantic inconsistency.</w:t>
      </w:r>
    </w:p>
    <w:p>
      <w:pPr>
        <w:pStyle w:val="ListBullet"/>
        <w:ind w:left="0"/>
      </w:pPr>
      <w:r>
        <w:t>Table 2: baseline and ablation matrix.</w:t>
      </w:r>
    </w:p>
    <w:p>
      <w:pPr>
        <w:pStyle w:val="ListBullet"/>
        <w:ind w:left="0"/>
      </w:pPr>
      <w:r>
        <w:t>Table 3: revision efficiency and collateral-damage metrics.</w:t>
      </w:r>
    </w:p>
    <w:p>
      <w:pPr>
        <w:pStyle w:val="ListBullet"/>
        <w:ind w:left="0"/>
      </w:pPr>
      <w:r>
        <w:t>Appendix figure set: grid overlays, semantic localization examples, failure cases, and learned-selector upgrade results.</w:t>
      </w:r>
    </w:p>
    <w:p>
      <w:pPr>
        <w:pStyle w:val="Heading1"/>
      </w:pPr>
      <w:r>
        <w:t>16. Context References</w:t>
      </w:r>
    </w:p>
    <w:p>
      <w:pPr>
        <w:pStyle w:val="ListBullet"/>
        <w:ind w:left="0"/>
      </w:pPr>
      <w:r>
        <w:t>Show-o: One Single Transformer to Unify Multimodal Understanding and Generation. ICLR 2025 poster / OpenReview.</w:t>
      </w:r>
    </w:p>
    <w:p>
      <w:pPr>
        <w:pStyle w:val="ListBullet"/>
        <w:ind w:left="0"/>
      </w:pPr>
      <w:r>
        <w:t>UniGen: Enhanced Training &amp; Test-Time Strategies for Unified Multimodal Understanding and Generation. NeurIPS 2025 poster / OpenReview.</w:t>
      </w:r>
    </w:p>
    <w:p>
      <w:pPr>
        <w:pStyle w:val="ListBullet"/>
        <w:ind w:left="0"/>
      </w:pPr>
      <w:r>
        <w:t>Lavida-O: Elastic Large Masked Diffusion Models for Unified Multimodal Understanding and Generation. ICLR 2026 poster / OpenReview.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00" w:before="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