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bookmarkStart w:id="27" w:name="X70b82bec4d291abbca5925c0f686424fd48e727"/>
    <w:p>
      <w:pPr>
        <w:pStyle w:val="Heading1"/>
      </w:pPr>
      <w:r>
        <w:t xml:space="preserve">Virtual classroom policies and statements</w:t>
      </w:r>
    </w:p>
    <w:bookmarkStart w:id="21" w:name="intellectual-property"/>
    <w:p>
      <w:pPr>
        <w:pStyle w:val="Heading2"/>
      </w:pPr>
      <w:r>
        <w:t xml:space="preserve">Intellectual Property</w:t>
      </w:r>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bookmarkEnd w:id="21"/>
    <w:bookmarkStart w:id="23" w:name="health-screening"/>
    <w:p>
      <w:pPr>
        <w:pStyle w:val="Heading2"/>
      </w:pPr>
      <w:r>
        <w:t xml:space="preserve">Health screening</w:t>
      </w:r>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2">
        <w:r>
          <w:rPr>
            <w:rStyle w:val="Hyperlink"/>
          </w:rPr>
          <w:t xml:space="preserve">online reporting form</w:t>
        </w:r>
      </w:hyperlink>
      <w:r>
        <w:t xml:space="preserve">. A campus official will reply to provide guidance and information.</w:t>
      </w:r>
    </w:p>
    <w:bookmarkEnd w:id="23"/>
    <w:bookmarkStart w:id="25" w:name="safety-measures"/>
    <w:p>
      <w:pPr>
        <w:pStyle w:val="Heading2"/>
      </w:pPr>
      <w:r>
        <w:t xml:space="preserve">Safety Measures</w:t>
      </w:r>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4">
        <w:r>
          <w:rPr>
            <w:rStyle w:val="Hyperlink"/>
          </w:rPr>
          <w:t xml:space="preserve">www.fresnostate.edu/coronavirus</w:t>
        </w:r>
      </w:hyperlink>
    </w:p>
    <w:bookmarkEnd w:id="25"/>
    <w:bookmarkStart w:id="26" w:name="X7f29d9c976166c4a1788f2c310a5f5ec7d1ff26"/>
    <w:p>
      <w:pPr>
        <w:pStyle w:val="Heading2"/>
      </w:pPr>
      <w:r>
        <w:t xml:space="preserve">Contact information for course coordinator, department chair and college dean</w:t>
      </w:r>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bookmarkEnd w:id="26"/>
    <w:bookmarkEnd w:id="27"/>
    <w:bookmarkStart w:id="28" w:name="start-here"/>
    <w:p>
      <w:pPr>
        <w:pStyle w:val="Heading1"/>
      </w:pPr>
      <w:r>
        <w:t xml:space="preserve">Start here</w:t>
      </w:r>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bookmarkEnd w:id="28"/>
    <w:bookmarkStart w:id="37" w:name="course-information"/>
    <w:p>
      <w:pPr>
        <w:pStyle w:val="Heading1"/>
      </w:pPr>
      <w:r>
        <w:t xml:space="preserve">Course information</w:t>
      </w:r>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 (redirects to my cell phone)</w:t>
      </w:r>
    </w:p>
    <w:p>
      <w:pPr>
        <w:numPr>
          <w:ilvl w:val="0"/>
          <w:numId w:val="1003"/>
        </w:numPr>
        <w:pStyle w:val="Compact"/>
      </w:pPr>
      <w:r>
        <w:rPr>
          <w:b/>
        </w:rPr>
        <w:t xml:space="preserve">Email</w:t>
      </w:r>
      <w:r>
        <w:t xml:space="preserve">:</w:t>
      </w:r>
      <w:r>
        <w:t xml:space="preserve"> </w:t>
      </w:r>
      <w:hyperlink r:id="rId29">
        <w:r>
          <w:rPr>
            <w:rStyle w:val="Hyperlink"/>
          </w:rPr>
          <w:t xml:space="preserve">hmuchalski@csufresno.edu</w:t>
        </w:r>
      </w:hyperlink>
      <w:r>
        <w:t xml:space="preserve"> </w:t>
      </w:r>
      <w:r>
        <w:t xml:space="preserve">or</w:t>
      </w:r>
      <w:r>
        <w:t xml:space="preserve"> </w:t>
      </w:r>
      <w:hyperlink r:id="rId30">
        <w:r>
          <w:rPr>
            <w:rStyle w:val="Hyperlink"/>
          </w:rPr>
          <w:t xml:space="preserve">hmuchalski@mail.fresnostate.edu</w:t>
        </w:r>
      </w:hyperlink>
      <w:r>
        <w:t xml:space="preserve"> </w:t>
      </w:r>
      <w:r>
        <w:t xml:space="preserve">(they go to the same inbox).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bookmarkStart w:id="31" w:name="learning-objectives"/>
    <w:p>
      <w:pPr>
        <w:pStyle w:val="Heading2"/>
      </w:pPr>
      <w:r>
        <w:t xml:space="preserve">Learning objectives</w:t>
      </w:r>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bookmarkEnd w:id="31"/>
    <w:bookmarkStart w:id="35" w:name="course-materials"/>
    <w:p>
      <w:pPr>
        <w:pStyle w:val="Heading2"/>
      </w:pPr>
      <w:r>
        <w:t xml:space="preserve">Course materials</w:t>
      </w:r>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2">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3">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4"/>
      </w:r>
      <w:r>
        <w:t xml:space="preserve"> </w:t>
      </w:r>
    </w:p>
    <w:bookmarkEnd w:id="35"/>
    <w:bookmarkStart w:id="36" w:name="technology"/>
    <w:p>
      <w:pPr>
        <w:pStyle w:val="Heading2"/>
      </w:pPr>
      <w:r>
        <w:t xml:space="preserve">Technology</w:t>
      </w:r>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bookmarkEnd w:id="36"/>
    <w:bookmarkEnd w:id="37"/>
    <w:bookmarkStart w:id="39" w:name="structure-of-the-course"/>
    <w:p>
      <w:pPr>
        <w:pStyle w:val="Heading1"/>
      </w:pPr>
      <w:r>
        <w:t xml:space="preserve">Structure of the course</w:t>
      </w:r>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bookmarkStart w:id="38" w:name="zoom-meetings"/>
    <w:p>
      <w:pPr>
        <w:pStyle w:val="Heading2"/>
      </w:pPr>
      <w:r>
        <w:t xml:space="preserve">Zoom meetings</w:t>
      </w:r>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bookmarkEnd w:id="38"/>
    <w:bookmarkEnd w:id="39"/>
    <w:bookmarkStart w:id="44" w:name="learning-activities-in-chem-128b"/>
    <w:p>
      <w:pPr>
        <w:pStyle w:val="Heading1"/>
      </w:pPr>
      <w:r>
        <w:t xml:space="preserve">Learning activities in CHEM 128B</w:t>
      </w:r>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bookmarkStart w:id="41" w:name="mastery-checkpoints"/>
    <w:p>
      <w:pPr>
        <w:pStyle w:val="Heading2"/>
      </w:pPr>
      <w:r>
        <w:t xml:space="preserve">Mastery Checkpoints</w:t>
      </w:r>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0">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bookmarkEnd w:id="41"/>
    <w:bookmarkStart w:id="43" w:name="the-emrn-rubric"/>
    <w:p>
      <w:pPr>
        <w:pStyle w:val="Heading2"/>
      </w:pPr>
      <w:r>
        <w:t xml:space="preserve">The EMRN rubric</w:t>
      </w:r>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2"/>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bookmarkEnd w:id="43"/>
    <w:bookmarkEnd w:id="44"/>
    <w:bookmarkStart w:id="48" w:name="grading"/>
    <w:p>
      <w:pPr>
        <w:pStyle w:val="Heading1"/>
      </w:pPr>
      <w:r>
        <w:t xml:space="preserve">How work is graded in CHEM 128B</w:t>
      </w:r>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bookmarkStart w:id="45" w:name="final-letter-grade"/>
    <w:p>
      <w:pPr>
        <w:pStyle w:val="Heading2"/>
      </w:pPr>
      <w:r>
        <w:t xml:space="preserve">Final letter grade</w:t>
      </w:r>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(14)</w:t>
            </w:r>
          </w:p>
        </w:tc>
        <w:tc>
          <w:p>
            <w:pPr>
              <w:pStyle w:val="Compact"/>
              <w:jc w:val="left"/>
            </w:pPr>
            <w:r>
              <w:t xml:space="preserve">5</w:t>
            </w:r>
          </w:p>
        </w:tc>
        <w:tc>
          <w:p>
            <w:pPr>
              <w:pStyle w:val="Compact"/>
              <w:jc w:val="left"/>
            </w:pPr>
            <w:r>
              <w:t xml:space="preserve">6</w:t>
            </w:r>
          </w:p>
        </w:tc>
        <w:tc>
          <w:p>
            <w:pPr>
              <w:pStyle w:val="Compact"/>
              <w:jc w:val="left"/>
            </w:pPr>
            <w:r>
              <w:t xml:space="preserve">9</w:t>
            </w:r>
          </w:p>
        </w:tc>
        <w:tc>
          <w:p>
            <w:pPr>
              <w:pStyle w:val="Compact"/>
              <w:jc w:val="left"/>
            </w:pPr>
            <w:r>
              <w:t xml:space="preserve">12</w:t>
            </w:r>
          </w:p>
        </w:tc>
      </w:tr>
      <w:tr>
        <w:tc>
          <w:p>
            <w:pPr>
              <w:pStyle w:val="Compact"/>
              <w:jc w:val="left"/>
            </w:pPr>
            <w:r>
              <w:t xml:space="preserve">AEPs (8+)</w:t>
            </w:r>
          </w:p>
        </w:tc>
        <w:tc>
          <w:p>
            <w:pPr>
              <w:pStyle w:val="Compact"/>
              <w:jc w:val="left"/>
            </w:pPr>
            <w:r>
              <w:t xml:space="preserve">1 M+</w:t>
            </w:r>
          </w:p>
        </w:tc>
        <w:tc>
          <w:p>
            <w:pPr>
              <w:pStyle w:val="Compact"/>
              <w:jc w:val="left"/>
            </w:pPr>
            <w:r>
              <w:t xml:space="preserve">2 M+</w:t>
            </w:r>
          </w:p>
        </w:tc>
        <w:tc>
          <w:p>
            <w:pPr>
              <w:pStyle w:val="Compact"/>
              <w:jc w:val="left"/>
            </w:pPr>
            <w:r>
              <w:t xml:space="preserve">2 E, 4 M+</w:t>
            </w:r>
          </w:p>
        </w:tc>
        <w:tc>
          <w:p>
            <w:pPr>
              <w:pStyle w:val="Compact"/>
              <w:jc w:val="left"/>
            </w:pPr>
            <w:r>
              <w:t xml:space="preserve">4E, 2 M+</w:t>
            </w:r>
          </w:p>
        </w:tc>
      </w:tr>
      <w:tr>
        <w:tc>
          <w:p>
            <w:pPr>
              <w:pStyle w:val="Compact"/>
              <w:jc w:val="left"/>
            </w:pPr>
            <w:r>
              <w:t xml:space="preserve">Module Portfolio (12)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10</w:t>
            </w:r>
          </w:p>
        </w:tc>
      </w:tr>
      <w:tr>
        <w:tc>
          <w:p>
            <w:pPr>
              <w:pStyle w:val="Compact"/>
              <w:jc w:val="left"/>
            </w:pPr>
            <w:r>
              <w:t xml:space="preserve">PPP (1000+)</w:t>
            </w:r>
          </w:p>
        </w:tc>
        <w:tc>
          <w:p>
            <w:pPr>
              <w:pStyle w:val="Compact"/>
              <w:jc w:val="left"/>
            </w:pPr>
            <w:r>
              <w:t xml:space="preserve">500</w:t>
            </w:r>
          </w:p>
        </w:tc>
        <w:tc>
          <w:p>
            <w:pPr>
              <w:pStyle w:val="Compact"/>
              <w:jc w:val="left"/>
            </w:pPr>
            <w:r>
              <w:t xml:space="preserve">800</w:t>
            </w:r>
          </w:p>
        </w:tc>
        <w:tc>
          <w:p>
            <w:pPr>
              <w:pStyle w:val="Compact"/>
              <w:jc w:val="left"/>
            </w:pPr>
            <w:r>
              <w:t xml:space="preserve">800</w:t>
            </w:r>
          </w:p>
        </w:tc>
        <w:tc>
          <w:p>
            <w:pPr>
              <w:pStyle w:val="Compact"/>
              <w:jc w:val="left"/>
            </w:pPr>
            <w:r>
              <w:t xml:space="preserve">800</w:t>
            </w:r>
          </w:p>
        </w:tc>
      </w:tr>
      <w:tr>
        <w:tc>
          <w:p>
            <w:pPr>
              <w:pStyle w:val="Compact"/>
              <w:jc w:val="left"/>
            </w:pPr>
            <w:r>
              <w:t xml:space="preserve">Final Exam</w:t>
            </w:r>
          </w:p>
        </w:tc>
        <w:tc>
          <w:p>
            <w:pPr>
              <w:pStyle w:val="Compact"/>
              <w:jc w:val="left"/>
            </w:pPr>
            <w:r>
              <w:t xml:space="preserve">20%</w:t>
            </w:r>
          </w:p>
        </w:tc>
        <w:tc>
          <w:p>
            <w:pPr>
              <w:pStyle w:val="Compact"/>
              <w:jc w:val="left"/>
            </w:pPr>
            <w:r>
              <w:t xml:space="preserve">30%</w:t>
            </w:r>
          </w:p>
        </w:tc>
        <w:tc>
          <w:p>
            <w:pPr>
              <w:pStyle w:val="Compact"/>
              <w:jc w:val="left"/>
            </w:pPr>
            <w:r>
              <w:t xml:space="preserve">40%</w:t>
            </w:r>
          </w:p>
        </w:tc>
        <w:tc>
          <w:p>
            <w:pPr>
              <w:pStyle w:val="Compact"/>
              <w:jc w:val="left"/>
            </w:pPr>
            <w:r>
              <w:t xml:space="preserve">50%</w:t>
            </w:r>
          </w:p>
        </w:tc>
      </w:tr>
    </w:tbl>
    <w:bookmarkEnd w:id="45"/>
    <w:bookmarkStart w:id="46" w:name="revisions"/>
    <w:p>
      <w:pPr>
        <w:pStyle w:val="Heading2"/>
      </w:pPr>
      <w:r>
        <w:t xml:space="preserve">Revisions and tokens</w:t>
      </w:r>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bookmarkEnd w:id="46"/>
    <w:bookmarkStart w:id="47" w:name="tokens"/>
    <w:p>
      <w:pPr>
        <w:pStyle w:val="Heading2"/>
      </w:pPr>
      <w:r>
        <w:t xml:space="preserve">Tokens</w:t>
      </w:r>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 spend a token, please use the</w:t>
      </w:r>
      <w:r>
        <w:t xml:space="preserve"> </w:t>
      </w:r>
      <w:r>
        <w:rPr>
          <w:i/>
        </w:rPr>
        <w:t xml:space="preserve">Token Spending form</w:t>
      </w:r>
      <w:r>
        <w:t xml:space="preserve"> </w:t>
      </w:r>
      <w:r>
        <w:t xml:space="preserve">found on Canvas. 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bookmarkEnd w:id="47"/>
    <w:bookmarkEnd w:id="48"/>
    <w:bookmarkStart w:id="54" w:name="course-policies"/>
    <w:p>
      <w:pPr>
        <w:pStyle w:val="Heading1"/>
      </w:pPr>
      <w:r>
        <w:t xml:space="preserve">Course policies</w:t>
      </w:r>
    </w:p>
    <w:bookmarkStart w:id="49" w:name="technology-issues-when-submitting-work"/>
    <w:p>
      <w:pPr>
        <w:pStyle w:val="Heading2"/>
      </w:pPr>
      <w:r>
        <w:t xml:space="preserve">Technology issues when submitting work</w:t>
      </w:r>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bookmarkEnd w:id="49"/>
    <w:bookmarkStart w:id="51" w:name="academic-integrity"/>
    <w:p>
      <w:pPr>
        <w:pStyle w:val="Heading2"/>
      </w:pPr>
      <w:r>
        <w:t xml:space="preserve">Academic integrity</w:t>
      </w:r>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0">
        <w:r>
          <w:rPr>
            <w:rStyle w:val="Hyperlink"/>
          </w:rPr>
          <w:t xml:space="preserve">http://www.fresnostate.edu/aps/documents/apm/235.pdf</w:t>
        </w:r>
      </w:hyperlink>
      <w:r>
        <w:t xml:space="preserve">.</w:t>
      </w:r>
    </w:p>
    <w:bookmarkEnd w:id="51"/>
    <w:bookmarkStart w:id="53" w:name="dropping-the-course"/>
    <w:p>
      <w:pPr>
        <w:pStyle w:val="Heading2"/>
      </w:pPr>
      <w:r>
        <w:t xml:space="preserve">Dropping the course</w:t>
      </w:r>
    </w:p>
    <w:p>
      <w:pPr>
        <w:pStyle w:val="FirstParagraph"/>
      </w:pPr>
      <w:r>
        <w:t xml:space="preserve">Dates and details on withdrawing from courses are described on the</w:t>
      </w:r>
      <w:r>
        <w:t xml:space="preserve"> </w:t>
      </w:r>
      <w:hyperlink r:id="rId52">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bookmarkEnd w:id="53"/>
    <w:bookmarkEnd w:id="54"/>
    <w:bookmarkStart w:id="61" w:name="university-policies-and-disclaimers"/>
    <w:p>
      <w:pPr>
        <w:pStyle w:val="Heading1"/>
      </w:pPr>
      <w:r>
        <w:t xml:space="preserve">University policies and disclaimers</w:t>
      </w:r>
    </w:p>
    <w:p>
      <w:pPr>
        <w:pStyle w:val="FirstParagraph"/>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6">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0">
        <w:r>
          <w:rPr>
            <w:rStyle w:val="Hyperlink"/>
          </w:rPr>
          <w:t xml:space="preserve">http://www.fresnostate.edu/studentaffairs/registrar/registration/add-drop-deadlines.html</w:t>
        </w:r>
      </w:hyperlink>
    </w:p>
    <w:bookmarkEnd w:id="61"/>
    <w:bookmarkStart w:id="64" w:name="appendix-a"/>
    <w:p>
      <w:pPr>
        <w:pStyle w:val="Heading1"/>
      </w:pPr>
      <w:r>
        <w:t xml:space="preserve">Appendix A: Course Modules and Learning Targets</w:t>
      </w:r>
    </w:p>
    <w:bookmarkStart w:id="62" w:name="modules"/>
    <w:p>
      <w:pPr>
        <w:pStyle w:val="Heading2"/>
      </w:pPr>
      <w:r>
        <w:t xml:space="preserve">Course modules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bookmarkEnd w:id="62"/>
    <w:bookmarkStart w:id="63" w:name="learning-targets"/>
    <w:p>
      <w:pPr>
        <w:pStyle w:val="Heading2"/>
      </w:pPr>
      <w:r>
        <w:t xml:space="preserve">Learning Targets</w:t>
      </w:r>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4"/>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p>
    <w:p>
      <w:pPr>
        <w:numPr>
          <w:ilvl w:val="0"/>
          <w:numId w:val="1015"/>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p>
    <w:p>
      <w:pPr>
        <w:numPr>
          <w:ilvl w:val="0"/>
          <w:numId w:val="1016"/>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bookmarkEnd w:id="63"/>
    <w:bookmarkEnd w:id="64"/>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_rels/footnotes.xml.rels><?xml version="1.0" encoding="UTF-8"?>
<Relationships xmlns="http://schemas.openxmlformats.org/package/2006/relationships"><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2020-10-06T16:19:59Z</dcterms:created>
  <dcterms:modified xsi:type="dcterms:W3CDTF">2020-10-06T16:19:59Z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