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for</w:t>
      </w:r>
      <w:r>
        <w:t xml:space="preserve"> </w:t>
      </w:r>
      <w:r>
        <w:t xml:space="preserve">Organic</w:t>
      </w:r>
      <w:r>
        <w:t xml:space="preserve"> </w:t>
      </w:r>
      <w:r>
        <w:t xml:space="preserve">Chemistry</w:t>
      </w:r>
      <w:r>
        <w:t xml:space="preserve"> </w:t>
      </w:r>
      <w:r>
        <w:t xml:space="preserve">Laboratory</w:t>
      </w:r>
      <w:r>
        <w:t xml:space="preserve"> </w:t>
      </w:r>
      <w:r>
        <w:t xml:space="preserve">1</w:t>
      </w:r>
    </w:p>
    <w:p>
      <w:pPr>
        <w:pStyle w:val="Subtitle"/>
      </w:pPr>
      <w:r>
        <w:t xml:space="preserve">CHEM</w:t>
      </w:r>
      <w:r>
        <w:t xml:space="preserve"> </w:t>
      </w:r>
      <w:r>
        <w:t xml:space="preserve">129A,</w:t>
      </w:r>
      <w:r>
        <w:t xml:space="preserve"> </w:t>
      </w:r>
      <w:r>
        <w:t xml:space="preserve">Fall</w:t>
      </w:r>
      <w:r>
        <w:t xml:space="preserve"> </w:t>
      </w:r>
      <w:r>
        <w:t xml:space="preserve">2020</w:t>
      </w:r>
      <w:r>
        <w:t xml:space="preserve"> </w:t>
      </w:r>
      <w:r>
        <w:t xml:space="preserve">(Virtual</w:t>
      </w:r>
      <w:r>
        <w:t xml:space="preserve"> </w:t>
      </w:r>
      <w:r>
        <w:t xml:space="preserve">Classroom)</w:t>
      </w:r>
    </w:p>
    <w:p>
      <w:pPr>
        <w:pStyle w:val="Author"/>
      </w:pPr>
      <w:r>
        <w:t xml:space="preserve">Coordinator:</w:t>
      </w:r>
      <w:r>
        <w:t xml:space="preserve"> </w:t>
      </w:r>
      <w:r>
        <w:t xml:space="preserve">Hubert</w:t>
      </w:r>
      <w:r>
        <w:t xml:space="preserve"> </w:t>
      </w:r>
      <w:r>
        <w:t xml:space="preserve">Muchalski,</w:t>
      </w:r>
      <w:r>
        <w:t xml:space="preserve"> </w:t>
      </w:r>
      <w:r>
        <w:t xml:space="preserve">Ph.D.</w:t>
      </w:r>
    </w:p>
    <w:p>
      <w:pPr>
        <w:pStyle w:val="Heading1"/>
      </w:pPr>
      <w:bookmarkStart w:id="20" w:name="changelog"/>
      <w:r>
        <w:t xml:space="preserve">Changelog</w:t>
      </w:r>
      <w:bookmarkEnd w:id="20"/>
    </w:p>
    <w:p>
      <w:pPr>
        <w:pStyle w:val="FirstParagraph"/>
      </w:pPr>
      <w:r>
        <w:t xml:space="preserve">This syllabus and schedule are subject to change in the event of extenuating circumstances. If you are absent from class, it is your responsibility to check on announcements made while you were absent. Changes and corrections are listed in the changelog below and will be announced on Canvas.</w:t>
      </w:r>
    </w:p>
    <w:p>
      <w:pPr>
        <w:numPr>
          <w:ilvl w:val="0"/>
          <w:numId w:val="1001"/>
        </w:numPr>
        <w:pStyle w:val="Compact"/>
      </w:pPr>
      <w:r>
        <w:t xml:space="preserve">2020-08-11: Draft sent for to instructors for review</w:t>
      </w:r>
    </w:p>
    <w:p>
      <w:pPr>
        <w:pStyle w:val="Heading1"/>
      </w:pPr>
      <w:bookmarkStart w:id="21" w:name="introduction"/>
      <w:r>
        <w:t xml:space="preserve">Introduction</w:t>
      </w:r>
      <w:bookmarkEnd w:id="21"/>
    </w:p>
    <w:p>
      <w:pPr>
        <w:pStyle w:val="FirstParagraph"/>
      </w:pPr>
      <w:r>
        <w:t xml:space="preserve">Welcome to CHEM 129A, Organic Chemistry Laboratory! This course will introduce you to one of the richest and most beautiful areas of modern chemistry:</w:t>
      </w:r>
      <w:r>
        <w:t xml:space="preserve"> </w:t>
      </w:r>
      <w:r>
        <w:rPr>
          <w:i/>
        </w:rPr>
        <w:t xml:space="preserve">chemistry of carbon compounds</w:t>
      </w:r>
      <w:r>
        <w:t xml:space="preserve">. In CHEM 129A, we will learn skills that are essential for performing experiments in organic chemistry laboratory.</w:t>
      </w:r>
    </w:p>
    <w:p>
      <w:pPr>
        <w:pStyle w:val="BodyText"/>
      </w:pPr>
      <w:r>
        <w:rPr>
          <w:i/>
        </w:rPr>
        <w:t xml:space="preserve">Read the syllabus carefully</w:t>
      </w:r>
      <w:r>
        <w:t xml:space="preserve">. Almost all questions about the course that you might ask can be answered by referencing the syllabus. If you are uncertain that you understand all rules and regulations, please contact the instructor. Also, the syllabus for my sections differs slightly from those used in other sections</w:t>
      </w:r>
    </w:p>
    <w:p>
      <w:pPr>
        <w:numPr>
          <w:ilvl w:val="0"/>
          <w:numId w:val="1002"/>
        </w:numPr>
        <w:pStyle w:val="Compact"/>
      </w:pPr>
      <w:r>
        <w:rPr>
          <w:b/>
        </w:rPr>
        <w:t xml:space="preserve">Course name and number</w:t>
      </w:r>
      <w:r>
        <w:t xml:space="preserve">: CHEM 129A (2 Units)</w:t>
      </w:r>
    </w:p>
    <w:p>
      <w:pPr>
        <w:numPr>
          <w:ilvl w:val="0"/>
          <w:numId w:val="1002"/>
        </w:numPr>
        <w:pStyle w:val="Compact"/>
      </w:pPr>
      <w:r>
        <w:rPr>
          <w:b/>
        </w:rPr>
        <w:t xml:space="preserve">Prerequisites</w:t>
      </w:r>
      <w:r>
        <w:t xml:space="preserve">:CHEM 128A with a grade of C or better. CHEM 128A can be taken concurrently.</w:t>
      </w:r>
    </w:p>
    <w:p>
      <w:pPr>
        <w:numPr>
          <w:ilvl w:val="0"/>
          <w:numId w:val="1002"/>
        </w:numPr>
        <w:pStyle w:val="Compact"/>
      </w:pPr>
      <w:r>
        <w:rPr>
          <w:b/>
        </w:rPr>
        <w:t xml:space="preserve">Contact</w:t>
      </w:r>
      <w:r>
        <w:t xml:space="preserve">: phone (559) 278-2711, or email</w:t>
      </w:r>
      <w:r>
        <w:t xml:space="preserve"> </w:t>
      </w:r>
      <w:hyperlink r:id="rId22">
        <w:r>
          <w:rPr>
            <w:rStyle w:val="Hyperlink"/>
          </w:rPr>
          <w:t xml:space="preserve">hmuchalski@mail.fresnostate.edu</w:t>
        </w:r>
      </w:hyperlink>
    </w:p>
    <w:p>
      <w:pPr>
        <w:numPr>
          <w:ilvl w:val="0"/>
          <w:numId w:val="1002"/>
        </w:numPr>
        <w:pStyle w:val="Compact"/>
      </w:pPr>
      <w:r>
        <w:rPr>
          <w:b/>
        </w:rPr>
        <w:t xml:space="preserve">Office Hours</w:t>
      </w:r>
      <w:r>
        <w:t xml:space="preserve">: TBA. Additional consultation appointments can be scheduled through calendar function</w:t>
      </w:r>
      <w:r>
        <w:t xml:space="preserve"> </w:t>
      </w:r>
      <w:r>
        <w:t xml:space="preserve">“</w:t>
      </w:r>
      <w:r>
        <w:t xml:space="preserve">Find Appointments</w:t>
      </w:r>
      <w:r>
        <w:t xml:space="preserve">”</w:t>
      </w:r>
      <w:r>
        <w:t xml:space="preserve"> </w:t>
      </w:r>
      <w:r>
        <w:t xml:space="preserve">on Canvas.</w:t>
      </w:r>
    </w:p>
    <w:p>
      <w:pPr>
        <w:pStyle w:val="Heading1"/>
      </w:pPr>
      <w:bookmarkStart w:id="23" w:name="what-is-chem-129a"/>
      <w:r>
        <w:t xml:space="preserve">What is CHEM 129A</w:t>
      </w:r>
      <w:bookmarkEnd w:id="23"/>
    </w:p>
    <w:p>
      <w:pPr>
        <w:pStyle w:val="FirstParagraph"/>
      </w:pPr>
      <w:r>
        <w:t xml:space="preserve">CHEM 129A is a two-unit introductory laboratory course in organic chemistry. It is primarily concerned with introducing the tools and techniques that chemists use to synthesize and investigate the properties of organic compounds (see the</w:t>
      </w:r>
      <w:r>
        <w:t xml:space="preserve"> </w:t>
      </w:r>
      <w:hyperlink w:anchor="slo">
        <w:r>
          <w:rPr>
            <w:rStyle w:val="Hyperlink"/>
          </w:rPr>
          <w:t xml:space="preserve">list below</w:t>
        </w:r>
      </w:hyperlink>
      <w:r>
        <w:t xml:space="preserve">). Some of these techniques are the same or similar to those you learned in general chemistry courses but may be modified because the experiments use very small amounts of material (micro-scale techniques). Students who successfully complete CHEM 129A generally enroll in CHEM 129B, which further develops students’ laboratory skills. Some students then continue with CHEM 190, undergraduate research or independent study.</w:t>
      </w:r>
    </w:p>
    <w:p>
      <w:pPr>
        <w:pStyle w:val="Heading2"/>
      </w:pPr>
      <w:bookmarkStart w:id="24" w:name="slo"/>
      <w:r>
        <w:t xml:space="preserve">Student Learning Outcomes</w:t>
      </w:r>
      <w:bookmarkEnd w:id="24"/>
    </w:p>
    <w:p>
      <w:pPr>
        <w:pStyle w:val="FirstParagraph"/>
      </w:pPr>
      <w:r>
        <w:t xml:space="preserve">Students who successfully complete CHEM 129A should be able to:</w:t>
      </w:r>
    </w:p>
    <w:p>
      <w:pPr>
        <w:numPr>
          <w:ilvl w:val="0"/>
          <w:numId w:val="1003"/>
        </w:numPr>
        <w:pStyle w:val="Compact"/>
      </w:pPr>
      <w:r>
        <w:t xml:space="preserve">understand how to work safely in the laboratory, including the disposal of chemical wastes</w:t>
      </w:r>
    </w:p>
    <w:p>
      <w:pPr>
        <w:numPr>
          <w:ilvl w:val="0"/>
          <w:numId w:val="1003"/>
        </w:numPr>
        <w:pStyle w:val="Compact"/>
      </w:pPr>
      <w:r>
        <w:t xml:space="preserve">communicate the structure and properties of organic molecules using common drawing and naming conventions</w:t>
      </w:r>
    </w:p>
    <w:p>
      <w:pPr>
        <w:numPr>
          <w:ilvl w:val="0"/>
          <w:numId w:val="1003"/>
        </w:numPr>
        <w:pStyle w:val="Compact"/>
      </w:pPr>
      <w:r>
        <w:t xml:space="preserve">analyze chemical structures and reaction conditions to make and defend predictions about chemical transformations</w:t>
      </w:r>
    </w:p>
    <w:p>
      <w:pPr>
        <w:numPr>
          <w:ilvl w:val="0"/>
          <w:numId w:val="1003"/>
        </w:numPr>
        <w:pStyle w:val="Compact"/>
      </w:pPr>
      <w:r>
        <w:t xml:space="preserve">maintain an accurate laboratory notebook that would allow a trained organic chemist to repeat the experimental and reproduce the results</w:t>
      </w:r>
    </w:p>
    <w:p>
      <w:pPr>
        <w:numPr>
          <w:ilvl w:val="0"/>
          <w:numId w:val="1003"/>
        </w:numPr>
        <w:pStyle w:val="Compact"/>
      </w:pPr>
      <w:r>
        <w:t xml:space="preserve">use drawing software such as ChemDraw to draw chemical structures and reactions</w:t>
      </w:r>
    </w:p>
    <w:p>
      <w:pPr>
        <w:numPr>
          <w:ilvl w:val="0"/>
          <w:numId w:val="1003"/>
        </w:numPr>
        <w:pStyle w:val="Compact"/>
      </w:pPr>
      <w:r>
        <w:t xml:space="preserve">plan an experiment by evaluating the information found in online databases and research articles</w:t>
      </w:r>
    </w:p>
    <w:p>
      <w:pPr>
        <w:numPr>
          <w:ilvl w:val="0"/>
          <w:numId w:val="1003"/>
        </w:numPr>
        <w:pStyle w:val="Compact"/>
      </w:pPr>
      <w:r>
        <w:t xml:space="preserve">conduct experiments that involve laboratory techniques such as extraction, crystallization, distillation, and chromatography</w:t>
      </w:r>
    </w:p>
    <w:p>
      <w:pPr>
        <w:numPr>
          <w:ilvl w:val="0"/>
          <w:numId w:val="1003"/>
        </w:numPr>
        <w:pStyle w:val="Compact"/>
      </w:pPr>
      <w:r>
        <w:t xml:space="preserve">measure physical properties of organic compounds including melting and boiling points</w:t>
      </w:r>
    </w:p>
    <w:p>
      <w:pPr>
        <w:numPr>
          <w:ilvl w:val="0"/>
          <w:numId w:val="1003"/>
        </w:numPr>
        <w:pStyle w:val="Compact"/>
      </w:pPr>
      <w:r>
        <w:t xml:space="preserve">analyze purity and chemical identity of organic compounds using TLC, GC, and IR</w:t>
      </w:r>
    </w:p>
    <w:p>
      <w:pPr>
        <w:numPr>
          <w:ilvl w:val="0"/>
          <w:numId w:val="1003"/>
        </w:numPr>
        <w:pStyle w:val="Compact"/>
      </w:pPr>
      <w:r>
        <w:t xml:space="preserve">analyze the results of an experiment and be able to identify sources of error and suggest improvements</w:t>
      </w:r>
    </w:p>
    <w:p>
      <w:pPr>
        <w:numPr>
          <w:ilvl w:val="0"/>
          <w:numId w:val="1003"/>
        </w:numPr>
        <w:pStyle w:val="Compact"/>
      </w:pPr>
      <w:r>
        <w:t xml:space="preserve">communicate the results of experiments to the instructor and peers in a written form (lab report)</w:t>
      </w:r>
    </w:p>
    <w:p>
      <w:pPr>
        <w:pStyle w:val="Heading1"/>
      </w:pPr>
      <w:bookmarkStart w:id="25" w:name="course-materials-and-technology"/>
      <w:r>
        <w:t xml:space="preserve">Course materials and technology</w:t>
      </w:r>
      <w:bookmarkEnd w:id="25"/>
    </w:p>
    <w:p>
      <w:pPr>
        <w:numPr>
          <w:ilvl w:val="0"/>
          <w:numId w:val="1004"/>
        </w:numPr>
        <w:pStyle w:val="Compact"/>
      </w:pPr>
      <w:r>
        <w:rPr>
          <w:b/>
        </w:rPr>
        <w:t xml:space="preserve">Textbook:</w:t>
      </w:r>
      <w:r>
        <w:t xml:space="preserve"> </w:t>
      </w:r>
      <w:r>
        <w:t xml:space="preserve">“</w:t>
      </w:r>
      <w:r>
        <w:t xml:space="preserve">A Micro-scale Approach to Organic Laboratory Techniques</w:t>
      </w:r>
      <w:r>
        <w:t xml:space="preserve">”</w:t>
      </w:r>
      <w:r>
        <w:t xml:space="preserve"> </w:t>
      </w:r>
      <w:r>
        <w:t xml:space="preserve">by Donald Pavia et al. published by Thompson/Brooks Cole. All page/section/experiment numbers refer to the 6th edition. Previous editions will also be sufficient to learn the material, but page/section/experiment numbers may differ.</w:t>
      </w:r>
      <w:r>
        <w:t xml:space="preserve"> </w:t>
      </w:r>
    </w:p>
    <w:p>
      <w:pPr>
        <w:numPr>
          <w:ilvl w:val="0"/>
          <w:numId w:val="1004"/>
        </w:numPr>
        <w:pStyle w:val="Compact"/>
      </w:pPr>
      <w:r>
        <w:rPr>
          <w:b/>
        </w:rPr>
        <w:t xml:space="preserve">Canvas:</w:t>
      </w:r>
      <w:r>
        <w:t xml:space="preserve"> </w:t>
      </w:r>
      <w:r>
        <w:t xml:space="preserve">The central repository for all course materials and information is our Canvas site, accessible through</w:t>
      </w:r>
      <w:r>
        <w:t xml:space="preserve"> </w:t>
      </w:r>
      <w:hyperlink r:id="rId26">
        <w:r>
          <w:rPr>
            <w:rStyle w:val="Hyperlink"/>
          </w:rPr>
          <w:t xml:space="preserve">https://fresnostate.instructure.com/courses/3782</w:t>
        </w:r>
      </w:hyperlink>
      <w:r>
        <w:t xml:space="preserve">. The Canvas site will house your grades, links to handouts, videos, and other materials.</w:t>
      </w:r>
    </w:p>
    <w:p>
      <w:pPr>
        <w:numPr>
          <w:ilvl w:val="0"/>
          <w:numId w:val="1004"/>
        </w:numPr>
        <w:pStyle w:val="Compact"/>
      </w:pPr>
      <w:r>
        <w:rPr>
          <w:b/>
        </w:rPr>
        <w:t xml:space="preserve">Zoom:</w:t>
      </w:r>
      <w:r>
        <w:t xml:space="preserve"> </w:t>
      </w:r>
      <w:r>
        <w:t xml:space="preserve">Virtual class meetings will be held via Zoom. Links and passwords to zoom meetings will be published on Canvas.</w:t>
      </w:r>
    </w:p>
    <w:p>
      <w:pPr>
        <w:numPr>
          <w:ilvl w:val="0"/>
          <w:numId w:val="1004"/>
        </w:numPr>
        <w:pStyle w:val="Compact"/>
      </w:pPr>
      <w:r>
        <w:rPr>
          <w:b/>
        </w:rPr>
        <w:t xml:space="preserve">Document scanning</w:t>
      </w:r>
      <w:r>
        <w:t xml:space="preserve">: Many assignments in this course are designed to be prepared by hand on paper. Few people own document scanners nowadays, but a mobile device with a scanning app can do a sufficient job at converting paper documents into PDFs. There are number of options available for both iOS and Android. Find one that you like and learn how to use it.</w:t>
      </w:r>
    </w:p>
    <w:p>
      <w:pPr>
        <w:pStyle w:val="Heading1"/>
      </w:pPr>
      <w:bookmarkStart w:id="27" w:name="laboratory-code-of-safe-practices"/>
      <w:r>
        <w:t xml:space="preserve">Laboratory Code of Safe Practices</w:t>
      </w:r>
      <w:bookmarkEnd w:id="27"/>
    </w:p>
    <w:p>
      <w:pPr>
        <w:numPr>
          <w:ilvl w:val="0"/>
          <w:numId w:val="1005"/>
        </w:numPr>
        <w:pStyle w:val="Compact"/>
      </w:pPr>
      <w:r>
        <w:t xml:space="preserve">NO food or drink in the laboratory.</w:t>
      </w:r>
    </w:p>
    <w:p>
      <w:pPr>
        <w:numPr>
          <w:ilvl w:val="0"/>
          <w:numId w:val="1005"/>
        </w:numPr>
        <w:pStyle w:val="Compact"/>
      </w:pPr>
      <w:r>
        <w:t xml:space="preserve">Wear clothing appropriate for laboratory work.</w:t>
      </w:r>
    </w:p>
    <w:p>
      <w:pPr>
        <w:numPr>
          <w:ilvl w:val="0"/>
          <w:numId w:val="1005"/>
        </w:numPr>
        <w:pStyle w:val="Compact"/>
      </w:pPr>
      <w:r>
        <w:t xml:space="preserve">Select and correctly use appropriate Personal Protective Equipment (PPE).</w:t>
      </w:r>
    </w:p>
    <w:p>
      <w:pPr>
        <w:numPr>
          <w:ilvl w:val="0"/>
          <w:numId w:val="1005"/>
        </w:numPr>
        <w:pStyle w:val="Compact"/>
      </w:pPr>
      <w:r>
        <w:t xml:space="preserve">Know what to do and who to contact in an emergency in the laboratory.</w:t>
      </w:r>
    </w:p>
    <w:p>
      <w:pPr>
        <w:numPr>
          <w:ilvl w:val="0"/>
          <w:numId w:val="1005"/>
        </w:numPr>
        <w:pStyle w:val="Compact"/>
      </w:pPr>
      <w:r>
        <w:t xml:space="preserve">Avoid distractions and be alert to and aware of your surroundings and potential hazards in your area.</w:t>
      </w:r>
    </w:p>
    <w:p>
      <w:pPr>
        <w:numPr>
          <w:ilvl w:val="0"/>
          <w:numId w:val="1005"/>
        </w:numPr>
        <w:pStyle w:val="Compact"/>
      </w:pPr>
      <w:r>
        <w:t xml:space="preserve">Maintain a safe and clean work area.</w:t>
      </w:r>
    </w:p>
    <w:p>
      <w:pPr>
        <w:numPr>
          <w:ilvl w:val="0"/>
          <w:numId w:val="1005"/>
        </w:numPr>
        <w:pStyle w:val="Compact"/>
      </w:pPr>
      <w:r>
        <w:t xml:space="preserve">Only conduct experiments or procedures approved by your lab instructor or research advisor.</w:t>
      </w:r>
    </w:p>
    <w:p>
      <w:pPr>
        <w:numPr>
          <w:ilvl w:val="0"/>
          <w:numId w:val="1005"/>
        </w:numPr>
        <w:pStyle w:val="Compact"/>
      </w:pPr>
      <w:r>
        <w:t xml:space="preserve">Understand the common chemical hazards and hazards specific to the chemicals and procedures with which you are working.</w:t>
      </w:r>
    </w:p>
    <w:p>
      <w:pPr>
        <w:numPr>
          <w:ilvl w:val="0"/>
          <w:numId w:val="1005"/>
        </w:numPr>
        <w:pStyle w:val="Compact"/>
      </w:pPr>
      <w:r>
        <w:t xml:space="preserve">Understand and follow best practices on how to handle, transport, store, and dispose of chemicals safely.</w:t>
      </w:r>
    </w:p>
    <w:p>
      <w:pPr>
        <w:numPr>
          <w:ilvl w:val="0"/>
          <w:numId w:val="1005"/>
        </w:numPr>
        <w:pStyle w:val="Compact"/>
      </w:pPr>
      <w:r>
        <w:t xml:space="preserve">If any equipment, glassware, or procedures are not working properly or as expected, notify your instructor before proceeding.</w:t>
      </w:r>
    </w:p>
    <w:p>
      <w:pPr>
        <w:numPr>
          <w:ilvl w:val="0"/>
          <w:numId w:val="1005"/>
        </w:numPr>
        <w:pStyle w:val="Compact"/>
      </w:pPr>
      <w:r>
        <w:t xml:space="preserve">Notify your instructor if you have, develop, or may develop any medical conditions (e.g. severe asthma, limited mobility, vision impairment, pregnancy, etc) that may affect your safety in the laboratory or sensitivity to chemicals, so that your instructor can properly advise or accommodate you on minimizing the risks associated with laboratory work.</w:t>
      </w:r>
    </w:p>
    <w:p>
      <w:pPr>
        <w:pStyle w:val="FirstParagraph"/>
      </w:pPr>
      <w:r>
        <w:t xml:space="preserve">These principles will be discussed in detail during the first week of class. More information can be found here:</w:t>
      </w:r>
      <w:r>
        <w:t xml:space="preserve"> </w:t>
      </w:r>
      <w:hyperlink r:id="rId28">
        <w:r>
          <w:rPr>
            <w:rStyle w:val="Hyperlink"/>
          </w:rPr>
          <w:t xml:space="preserve">https://goo.gl/1UFRbo</w:t>
        </w:r>
      </w:hyperlink>
      <w:r>
        <w:t xml:space="preserve">. Also, refer to</w:t>
      </w:r>
      <w:r>
        <w:t xml:space="preserve"> </w:t>
      </w:r>
      <w:hyperlink r:id="rId29">
        <w:r>
          <w:rPr>
            <w:rStyle w:val="Hyperlink"/>
            <w:i/>
          </w:rPr>
          <w:t xml:space="preserve">Guidelines for Chemical Laboratory Safety in Academic Institutions</w:t>
        </w:r>
      </w:hyperlink>
      <w:r>
        <w:t xml:space="preserve"> </w:t>
      </w:r>
      <w:r>
        <w:t xml:space="preserve">published by American Chemical Society.</w:t>
      </w:r>
    </w:p>
    <w:p>
      <w:pPr>
        <w:pStyle w:val="Heading1"/>
      </w:pPr>
      <w:bookmarkStart w:id="30" w:name="expectations"/>
      <w:r>
        <w:t xml:space="preserve">Expectations</w:t>
      </w:r>
      <w:bookmarkEnd w:id="30"/>
    </w:p>
    <w:p>
      <w:pPr>
        <w:pStyle w:val="FirstParagraph"/>
      </w:pPr>
      <w:r>
        <w:t xml:space="preserve">Due to the ongoing coronavirus pandemic this class is delivered virtually in a blended mode, as a combination of synchronous and asynchronous activities. Activities planned for synchronous meetings will rely on breakout rooms. Although the sessions may be recorded, activities within breakout rooms are not being recorded.</w:t>
      </w:r>
    </w:p>
    <w:p>
      <w:pPr>
        <w:pStyle w:val="BodyText"/>
      </w:pPr>
      <w:r>
        <w:t xml:space="preserve">I expect that you will be present during virtual class sessions equipped with a basic understanding of the concepts that will allow you to fully participate in discussions. Preparing for the class means making honest effort to learn on your own. This is done by:</w:t>
      </w:r>
    </w:p>
    <w:p>
      <w:pPr>
        <w:numPr>
          <w:ilvl w:val="0"/>
          <w:numId w:val="1006"/>
        </w:numPr>
        <w:pStyle w:val="Compact"/>
      </w:pPr>
      <w:r>
        <w:t xml:space="preserve">reading the assigned material related to the experiment;</w:t>
      </w:r>
    </w:p>
    <w:p>
      <w:pPr>
        <w:numPr>
          <w:ilvl w:val="0"/>
          <w:numId w:val="1006"/>
        </w:numPr>
        <w:pStyle w:val="Compact"/>
      </w:pPr>
      <w:r>
        <w:t xml:space="preserve">preparing the pre-lab assignment;</w:t>
      </w:r>
    </w:p>
    <w:p>
      <w:pPr>
        <w:numPr>
          <w:ilvl w:val="0"/>
          <w:numId w:val="1006"/>
        </w:numPr>
        <w:pStyle w:val="Compact"/>
      </w:pPr>
      <w:r>
        <w:t xml:space="preserve">reviewing the relevant techniques for each experiment (listed in the introduction section for each experiment);</w:t>
      </w:r>
    </w:p>
    <w:p>
      <w:pPr>
        <w:numPr>
          <w:ilvl w:val="0"/>
          <w:numId w:val="1006"/>
        </w:numPr>
        <w:pStyle w:val="Compact"/>
      </w:pPr>
      <w:r>
        <w:t xml:space="preserve">watching videos demonstrating laboratory techniques; and</w:t>
      </w:r>
    </w:p>
    <w:p>
      <w:pPr>
        <w:numPr>
          <w:ilvl w:val="0"/>
          <w:numId w:val="1006"/>
        </w:numPr>
        <w:pStyle w:val="Compact"/>
      </w:pPr>
      <w:r>
        <w:t xml:space="preserve">reviewing safety data sheets (SDS) for chemicals you will be working with.</w:t>
      </w:r>
    </w:p>
    <w:p>
      <w:pPr>
        <w:pStyle w:val="Heading1"/>
      </w:pPr>
      <w:bookmarkStart w:id="31" w:name="grading"/>
      <w:r>
        <w:t xml:space="preserve">Grading</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Grade</w:t>
            </w:r>
          </w:p>
        </w:tc>
        <w:tc>
          <w:tcPr>
            <w:tcBorders>
              <w:bottom w:val="single"/>
            </w:tcBorders>
            <w:vAlign w:val="bottom"/>
          </w:tcPr>
          <w:p>
            <w:pPr>
              <w:pStyle w:val="Compact"/>
              <w:jc w:val="left"/>
            </w:pPr>
            <w:r>
              <w:t xml:space="preserve">Total Score</w:t>
            </w:r>
          </w:p>
        </w:tc>
      </w:tr>
      <w:tr>
        <w:tc>
          <w:p>
            <w:pPr>
              <w:pStyle w:val="Compact"/>
              <w:jc w:val="left"/>
            </w:pPr>
            <w:r>
              <w:t xml:space="preserve">A</w:t>
            </w:r>
          </w:p>
        </w:tc>
        <w:tc>
          <w:p>
            <w:pPr>
              <w:pStyle w:val="Compact"/>
              <w:jc w:val="left"/>
            </w:pPr>
            <w:r>
              <w:t xml:space="preserve">90–100%</w:t>
            </w:r>
          </w:p>
        </w:tc>
      </w:tr>
      <w:tr>
        <w:tc>
          <w:p>
            <w:pPr>
              <w:pStyle w:val="Compact"/>
              <w:jc w:val="left"/>
            </w:pPr>
            <w:r>
              <w:t xml:space="preserve">B</w:t>
            </w:r>
          </w:p>
        </w:tc>
        <w:tc>
          <w:p>
            <w:pPr>
              <w:pStyle w:val="Compact"/>
              <w:jc w:val="left"/>
            </w:pPr>
            <w:r>
              <w:t xml:space="preserve">80–89%</w:t>
            </w:r>
          </w:p>
        </w:tc>
      </w:tr>
      <w:tr>
        <w:tc>
          <w:p>
            <w:pPr>
              <w:pStyle w:val="Compact"/>
              <w:jc w:val="left"/>
            </w:pPr>
            <w:r>
              <w:t xml:space="preserve">C</w:t>
            </w:r>
          </w:p>
        </w:tc>
        <w:tc>
          <w:p>
            <w:pPr>
              <w:pStyle w:val="Compact"/>
              <w:jc w:val="left"/>
            </w:pPr>
            <w:r>
              <w:t xml:space="preserve">70–79%</w:t>
            </w:r>
          </w:p>
        </w:tc>
      </w:tr>
      <w:tr>
        <w:tc>
          <w:p>
            <w:pPr>
              <w:pStyle w:val="Compact"/>
              <w:jc w:val="left"/>
            </w:pPr>
            <w:r>
              <w:t xml:space="preserve">D</w:t>
            </w:r>
          </w:p>
        </w:tc>
        <w:tc>
          <w:p>
            <w:pPr>
              <w:pStyle w:val="Compact"/>
              <w:jc w:val="left"/>
            </w:pPr>
            <w:r>
              <w:t xml:space="preserve">60-69%</w:t>
            </w:r>
          </w:p>
        </w:tc>
      </w:tr>
      <w:tr>
        <w:tc>
          <w:p>
            <w:pPr>
              <w:pStyle w:val="Compact"/>
              <w:jc w:val="left"/>
            </w:pPr>
            <w:r>
              <w:t xml:space="preserve">F</w:t>
            </w:r>
          </w:p>
        </w:tc>
        <w:tc>
          <w:p>
            <w:pPr>
              <w:pStyle w:val="Compact"/>
              <w:jc w:val="left"/>
            </w:pPr>
            <w:r>
              <w:t xml:space="preserve">&lt;60%</w:t>
            </w:r>
          </w:p>
        </w:tc>
      </w:tr>
    </w:tbl>
    <w:p>
      <w:pPr>
        <w:pStyle w:val="BodyText"/>
      </w:pPr>
      <w:r>
        <w:t xml:space="preserve">Graded assignments are organized into 11 assignment groups. Ten content-driven groups contribute 8% of the final grade. Four exams contribute the remaining 20%.</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%Weight</w:t>
            </w:r>
          </w:p>
        </w:tc>
      </w:tr>
      <w:tr>
        <w:tc>
          <w:p>
            <w:pPr>
              <w:pStyle w:val="Compact"/>
              <w:jc w:val="left"/>
            </w:pPr>
            <w:r>
              <w:t xml:space="preserve">Solubility</w:t>
            </w:r>
          </w:p>
        </w:tc>
        <w:tc>
          <w:p>
            <w:pPr>
              <w:pStyle w:val="Compact"/>
              <w:jc w:val="left"/>
            </w:pPr>
            <w:r>
              <w:t xml:space="preserve">8%</w:t>
            </w:r>
          </w:p>
        </w:tc>
      </w:tr>
      <w:tr>
        <w:tc>
          <w:p>
            <w:pPr>
              <w:pStyle w:val="Compact"/>
              <w:jc w:val="left"/>
            </w:pPr>
            <w:r>
              <w:t xml:space="preserve">Crystallization</w:t>
            </w:r>
          </w:p>
        </w:tc>
        <w:tc>
          <w:p>
            <w:pPr>
              <w:pStyle w:val="Compact"/>
              <w:jc w:val="left"/>
            </w:pPr>
            <w:r>
              <w:t xml:space="preserve">8%</w:t>
            </w:r>
          </w:p>
        </w:tc>
      </w:tr>
      <w:tr>
        <w:tc>
          <w:p>
            <w:pPr>
              <w:pStyle w:val="Compact"/>
              <w:jc w:val="left"/>
            </w:pPr>
            <w:r>
              <w:t xml:space="preserve">Extraction</w:t>
            </w:r>
          </w:p>
        </w:tc>
        <w:tc>
          <w:p>
            <w:pPr>
              <w:pStyle w:val="Compact"/>
              <w:jc w:val="left"/>
            </w:pPr>
            <w:r>
              <w:t xml:space="preserve">8%</w:t>
            </w:r>
          </w:p>
        </w:tc>
      </w:tr>
      <w:tr>
        <w:tc>
          <w:p>
            <w:pPr>
              <w:pStyle w:val="Compact"/>
              <w:jc w:val="left"/>
            </w:pPr>
            <w:r>
              <w:t xml:space="preserve">Chromatography</w:t>
            </w:r>
          </w:p>
        </w:tc>
        <w:tc>
          <w:p>
            <w:pPr>
              <w:pStyle w:val="Compact"/>
              <w:jc w:val="left"/>
            </w:pPr>
            <w:r>
              <w:t xml:space="preserve">8%</w:t>
            </w:r>
          </w:p>
        </w:tc>
      </w:tr>
      <w:tr>
        <w:tc>
          <w:p>
            <w:pPr>
              <w:pStyle w:val="Compact"/>
              <w:jc w:val="left"/>
            </w:pPr>
            <w:r>
              <w:t xml:space="preserve">Distillation &amp; GC</w:t>
            </w:r>
          </w:p>
        </w:tc>
        <w:tc>
          <w:p>
            <w:pPr>
              <w:pStyle w:val="Compact"/>
              <w:jc w:val="left"/>
            </w:pPr>
            <w:r>
              <w:t xml:space="preserve">8%</w:t>
            </w:r>
          </w:p>
        </w:tc>
      </w:tr>
      <w:tr>
        <w:tc>
          <w:p>
            <w:pPr>
              <w:pStyle w:val="Compact"/>
              <w:jc w:val="left"/>
            </w:pPr>
            <w:r>
              <w:t xml:space="preserve">Fischer Esterification</w:t>
            </w:r>
          </w:p>
        </w:tc>
        <w:tc>
          <w:p>
            <w:pPr>
              <w:pStyle w:val="Compact"/>
              <w:jc w:val="left"/>
            </w:pPr>
            <w:r>
              <w:t xml:space="preserve">8%</w:t>
            </w:r>
          </w:p>
        </w:tc>
      </w:tr>
      <w:tr>
        <w:tc>
          <w:p>
            <w:pPr>
              <w:pStyle w:val="Compact"/>
              <w:jc w:val="left"/>
            </w:pPr>
            <w:r>
              <w:t xml:space="preserve">Nucleophilic Substitution</w:t>
            </w:r>
          </w:p>
        </w:tc>
        <w:tc>
          <w:p>
            <w:pPr>
              <w:pStyle w:val="Compact"/>
              <w:jc w:val="left"/>
            </w:pPr>
            <w:r>
              <w:t xml:space="preserve">8%</w:t>
            </w:r>
          </w:p>
        </w:tc>
      </w:tr>
      <w:tr>
        <w:tc>
          <w:p>
            <w:pPr>
              <w:pStyle w:val="Compact"/>
              <w:jc w:val="left"/>
            </w:pPr>
            <w:r>
              <w:t xml:space="preserve">Synthesis of Acetaminophen</w:t>
            </w:r>
          </w:p>
        </w:tc>
        <w:tc>
          <w:p>
            <w:pPr>
              <w:pStyle w:val="Compact"/>
              <w:jc w:val="left"/>
            </w:pPr>
            <w:r>
              <w:t xml:space="preserve">8%</w:t>
            </w:r>
          </w:p>
        </w:tc>
      </w:tr>
      <w:tr>
        <w:tc>
          <w:p>
            <w:pPr>
              <w:pStyle w:val="Compact"/>
              <w:jc w:val="left"/>
            </w:pPr>
            <w:r>
              <w:t xml:space="preserve">Grignard Synthesis of Benzoic Acid</w:t>
            </w:r>
          </w:p>
        </w:tc>
        <w:tc>
          <w:p>
            <w:pPr>
              <w:pStyle w:val="Compact"/>
              <w:jc w:val="left"/>
            </w:pPr>
            <w:r>
              <w:t xml:space="preserve">8%</w:t>
            </w:r>
          </w:p>
        </w:tc>
      </w:tr>
      <w:tr>
        <w:tc>
          <w:p>
            <w:pPr>
              <w:pStyle w:val="Compact"/>
              <w:jc w:val="left"/>
            </w:pPr>
            <w:r>
              <w:t xml:space="preserve">Miscellaneous</w:t>
            </w:r>
          </w:p>
        </w:tc>
        <w:tc>
          <w:p>
            <w:pPr>
              <w:pStyle w:val="Compact"/>
              <w:jc w:val="left"/>
            </w:pPr>
            <w:r>
              <w:t xml:space="preserve">8%</w:t>
            </w:r>
          </w:p>
        </w:tc>
      </w:tr>
      <w:tr>
        <w:tc>
          <w:p>
            <w:pPr>
              <w:pStyle w:val="Compact"/>
              <w:jc w:val="left"/>
            </w:pPr>
            <w:r>
              <w:t xml:space="preserve">Exams (5% each)</w:t>
            </w:r>
          </w:p>
        </w:tc>
        <w:tc>
          <w:p>
            <w:pPr>
              <w:pStyle w:val="Compact"/>
              <w:jc w:val="left"/>
            </w:pPr>
            <w:r>
              <w:t xml:space="preserve">20%</w:t>
            </w:r>
          </w:p>
        </w:tc>
      </w:tr>
      <w:tr>
        <w:tc>
          <w:p>
            <w:pPr>
              <w:pStyle w:val="Compact"/>
              <w:jc w:val="left"/>
            </w:pPr>
            <w:r>
              <w:t xml:space="preserve">Total</w:t>
            </w:r>
          </w:p>
        </w:tc>
        <w:tc>
          <w:p>
            <w:pPr>
              <w:pStyle w:val="Compact"/>
              <w:jc w:val="left"/>
            </w:pPr>
            <w:r>
              <w:t xml:space="preserve">100%</w:t>
            </w:r>
          </w:p>
        </w:tc>
      </w:tr>
    </w:tbl>
    <w:p>
      <w:pPr>
        <w:pStyle w:val="Heading1"/>
      </w:pPr>
      <w:bookmarkStart w:id="32" w:name="course-policies"/>
      <w:r>
        <w:t xml:space="preserve">Course policies</w:t>
      </w:r>
      <w:bookmarkEnd w:id="32"/>
    </w:p>
    <w:p>
      <w:pPr>
        <w:pStyle w:val="Heading2"/>
      </w:pPr>
      <w:bookmarkStart w:id="33" w:name="technology-issues-when-submitting-work"/>
      <w:r>
        <w:t xml:space="preserve">Technology issues when submitting work</w:t>
      </w:r>
      <w:bookmarkEnd w:id="33"/>
    </w:p>
    <w:p>
      <w:pPr>
        <w:pStyle w:val="FirstParagraph"/>
      </w:pPr>
      <w:r>
        <w:t xml:space="preserve">For assignments submitted electronically, it is your responsibility to make sure they are submitted on time, through any means necessary, even if technology issues arise. If a tech issue arises, it is your responsibility to find another way to get it to me (for example, via an email attachment). Technology issues that are avoidable or resolved with a simple work-around will not be considered valid grounds for a deadline extension. For example, if you are trying to upload a Lab to Canvas and Canvas won’t accept the file, you should try again later or send the file as an email attachment until you can upload it successfully.</w:t>
      </w:r>
    </w:p>
    <w:p>
      <w:pPr>
        <w:pStyle w:val="Heading2"/>
      </w:pPr>
      <w:bookmarkStart w:id="34" w:name="respondus-lockdown-browser"/>
      <w:r>
        <w:t xml:space="preserve">Respondus Lockdown Browser</w:t>
      </w:r>
      <w:bookmarkEnd w:id="34"/>
    </w:p>
    <w:p>
      <w:pPr>
        <w:pStyle w:val="FirstParagraph"/>
      </w:pPr>
      <w:r>
        <w:t xml:space="preserve">Respondus Lockdown Browser is a custom browser that locks down the testing environment within Canvas. When students use the Respondus Lockdown Browser they are unable to print, copy, go to a URL, or access other applications. When an assessment is started, students are locked into it until they submit it for grading. Available for both Windows and Mac. Respondus Lockdown Browser does not work on a Chromebook.</w:t>
      </w:r>
    </w:p>
    <w:p>
      <w:pPr>
        <w:pStyle w:val="BodyText"/>
      </w:pPr>
      <w:r>
        <w:t xml:space="preserve">Respondus Lockdown Browser uses a standard Windows or Mac installer that can be downloaded by faculty or students from the following link (note: this link is unique for Fresno State):</w:t>
      </w:r>
    </w:p>
    <w:p>
      <w:pPr>
        <w:pStyle w:val="BodyText"/>
      </w:pPr>
      <w:hyperlink r:id="rId35">
        <w:r>
          <w:rPr>
            <w:rStyle w:val="Hyperlink"/>
          </w:rPr>
          <w:t xml:space="preserve">http://www.respondus.com/lockdown/download.php?id=749643058</w:t>
        </w:r>
      </w:hyperlink>
    </w:p>
    <w:p>
      <w:pPr>
        <w:pStyle w:val="Heading2"/>
      </w:pPr>
      <w:bookmarkStart w:id="36" w:name="academic-dishonesty"/>
      <w:r>
        <w:t xml:space="preserve">Academic Dishonesty</w:t>
      </w:r>
      <w:bookmarkEnd w:id="36"/>
    </w:p>
    <w:p>
      <w:pPr>
        <w:pStyle w:val="FirstParagraph"/>
      </w:pPr>
      <w:r>
        <w:t xml:space="preserve">For most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numPr>
          <w:ilvl w:val="0"/>
          <w:numId w:val="1007"/>
        </w:numPr>
        <w:pStyle w:val="Compact"/>
      </w:pPr>
      <w:r>
        <w:t xml:space="preserve">copying work from another student;</w:t>
      </w:r>
    </w:p>
    <w:p>
      <w:pPr>
        <w:numPr>
          <w:ilvl w:val="0"/>
          <w:numId w:val="1007"/>
        </w:numPr>
        <w:pStyle w:val="Compact"/>
      </w:pPr>
      <w:r>
        <w:t xml:space="preserve">copying work from a website;</w:t>
      </w:r>
    </w:p>
    <w:p>
      <w:pPr>
        <w:numPr>
          <w:ilvl w:val="0"/>
          <w:numId w:val="1007"/>
        </w:numPr>
        <w:pStyle w:val="Compact"/>
      </w:pPr>
      <w:r>
        <w:t xml:space="preserve">paraphrasing work done by another student or from print or internet resources—i.e. putting it in your own words—without coming up with the main ideas and strategies yourself; and</w:t>
      </w:r>
    </w:p>
    <w:p>
      <w:pPr>
        <w:numPr>
          <w:ilvl w:val="0"/>
          <w:numId w:val="1007"/>
        </w:numPr>
        <w:pStyle w:val="Compact"/>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37">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 The revision and resubmission policies mean that it’s OK to turn in work that isn’t perfect. There is no need to be academically dishonest! Just do your best on the work, and you’ll have the chance to revise it later.</w:t>
      </w:r>
    </w:p>
    <w:p>
      <w:pPr>
        <w:pStyle w:val="Heading2"/>
      </w:pPr>
      <w:bookmarkStart w:id="38" w:name="X1f010d16c6f4ce1d23e7ec3c98a04e3190a1648"/>
      <w:r>
        <w:t xml:space="preserve">Dropping the course after the census date</w:t>
      </w:r>
      <w:bookmarkEnd w:id="38"/>
    </w:p>
    <w:p>
      <w:pPr>
        <w:pStyle w:val="FirstParagraph"/>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1"/>
      </w:pPr>
      <w:bookmarkStart w:id="39" w:name="university-policies-and-disclaimers"/>
      <w:r>
        <w:t xml:space="preserve">University policies and disclaimers</w:t>
      </w:r>
      <w:bookmarkEnd w:id="39"/>
    </w:p>
    <w:p>
      <w:pPr>
        <w:pStyle w:val="FirstParagraph"/>
      </w:pPr>
      <w:r>
        <w:t xml:space="preserve">In addition to course policies, you are expected to be familiar with Academic Regulations described in the</w:t>
      </w:r>
      <w:r>
        <w:t xml:space="preserve"> </w:t>
      </w:r>
      <w:hyperlink r:id="rId40">
        <w:r>
          <w:rPr>
            <w:rStyle w:val="Hyperlink"/>
          </w:rPr>
          <w:t xml:space="preserve">University Catalog</w:t>
        </w:r>
      </w:hyperlink>
      <w:r>
        <w:t xml:space="preserve"> </w:t>
      </w:r>
      <w:r>
        <w:t xml:space="preserve">as well as policies listed below.</w:t>
      </w:r>
    </w:p>
    <w:p>
      <w:pPr>
        <w:pStyle w:val="BodyText"/>
      </w:pPr>
      <w:r>
        <w:rPr>
          <w:b/>
        </w:rPr>
        <w:t xml:space="preserve">Students with Disabilities</w:t>
      </w:r>
      <w:r>
        <w:t xml:space="preserve">: Upon identifying themselves to the instructor and the university, students with disabilities will receive reasonable accommodation for learning and evaluation. For more information, contact Services to Students with Disabilities in the Henry Madden Library, Room 1202 (278-2811).</w:t>
      </w:r>
    </w:p>
    <w:p>
      <w:pPr>
        <w:numPr>
          <w:ilvl w:val="0"/>
          <w:numId w:val="1008"/>
        </w:numPr>
        <w:pStyle w:val="Compact"/>
      </w:pPr>
      <w:r>
        <w:t xml:space="preserve">Class Schedule Policies:</w:t>
      </w:r>
      <w:r>
        <w:t xml:space="preserve"> </w:t>
      </w:r>
      <w:hyperlink r:id="rId41">
        <w:r>
          <w:rPr>
            <w:rStyle w:val="Hyperlink"/>
          </w:rPr>
          <w:t xml:space="preserve">http://fresnostate.edu/studentaffairs/classschedule/policy/</w:t>
        </w:r>
      </w:hyperlink>
    </w:p>
    <w:p>
      <w:pPr>
        <w:numPr>
          <w:ilvl w:val="0"/>
          <w:numId w:val="1008"/>
        </w:numPr>
        <w:pStyle w:val="Compact"/>
      </w:pPr>
      <w:r>
        <w:t xml:space="preserve">Copyright Policy:</w:t>
      </w:r>
      <w:r>
        <w:t xml:space="preserve"> </w:t>
      </w:r>
      <w:hyperlink r:id="rId42">
        <w:r>
          <w:rPr>
            <w:rStyle w:val="Hyperlink"/>
          </w:rPr>
          <w:t xml:space="preserve">http://libguides.csufresno.edu/copyright</w:t>
        </w:r>
      </w:hyperlink>
    </w:p>
    <w:p>
      <w:pPr>
        <w:numPr>
          <w:ilvl w:val="0"/>
          <w:numId w:val="1008"/>
        </w:numPr>
        <w:pStyle w:val="Compact"/>
      </w:pPr>
      <w:r>
        <w:t xml:space="preserve">Students with Disabilities:</w:t>
      </w:r>
      <w:r>
        <w:t xml:space="preserve"> </w:t>
      </w:r>
      <w:hyperlink r:id="rId43">
        <w:r>
          <w:rPr>
            <w:rStyle w:val="Hyperlink"/>
          </w:rPr>
          <w:t xml:space="preserve">http://fresnostate.edu/studentaffairs/careers/students/interests/disabilities.html</w:t>
        </w:r>
      </w:hyperlink>
    </w:p>
    <w:p>
      <w:pPr>
        <w:numPr>
          <w:ilvl w:val="0"/>
          <w:numId w:val="1008"/>
        </w:numPr>
        <w:pStyle w:val="Compact"/>
      </w:pPr>
      <w:r>
        <w:t xml:space="preserve">Academic Integrity and Honor Code:</w:t>
      </w:r>
      <w:r>
        <w:t xml:space="preserve"> </w:t>
      </w:r>
      <w:hyperlink r:id="rId44">
        <w:r>
          <w:rPr>
            <w:rStyle w:val="Hyperlink"/>
          </w:rPr>
          <w:t xml:space="preserve">http://www.fresnostate.edu/academics/facultyaffairs/documents/apm/236.pdf</w:t>
        </w:r>
      </w:hyperlink>
    </w:p>
    <w:p>
      <w:pPr>
        <w:numPr>
          <w:ilvl w:val="0"/>
          <w:numId w:val="1008"/>
        </w:numPr>
        <w:pStyle w:val="Compact"/>
      </w:pPr>
      <w:r>
        <w:t xml:space="preserve">Policy on Cheating and Plagiarism:</w:t>
      </w:r>
      <w:r>
        <w:t xml:space="preserve"> </w:t>
      </w:r>
      <w:hyperlink r:id="rId45">
        <w:r>
          <w:rPr>
            <w:rStyle w:val="Hyperlink"/>
          </w:rPr>
          <w:t xml:space="preserve">http://fresnostate.edu/studentaffairs/studentconduct/policies/cheating-plagiarism.html</w:t>
        </w:r>
      </w:hyperlink>
    </w:p>
    <w:p>
      <w:pPr>
        <w:numPr>
          <w:ilvl w:val="0"/>
          <w:numId w:val="1008"/>
        </w:numPr>
        <w:pStyle w:val="Compact"/>
      </w:pPr>
      <w:r>
        <w:t xml:space="preserve">Add/Drop Course:</w:t>
      </w:r>
      <w:r>
        <w:t xml:space="preserve"> </w:t>
      </w:r>
      <w:hyperlink r:id="rId46">
        <w:r>
          <w:rPr>
            <w:rStyle w:val="Hyperlink"/>
          </w:rPr>
          <w:t xml:space="preserve">http://www.fresnostate.edu/studentaffairs/registrar/registration/</w:t>
        </w:r>
      </w:hyperlink>
    </w:p>
    <w:p>
      <w:pPr>
        <w:numPr>
          <w:ilvl w:val="0"/>
          <w:numId w:val="1008"/>
        </w:numPr>
        <w:pStyle w:val="Compact"/>
      </w:pPr>
      <w:r>
        <w:t xml:space="preserve">Computer requirements:</w:t>
      </w:r>
      <w:r>
        <w:t xml:space="preserve"> </w:t>
      </w:r>
      <w:hyperlink r:id="rId47">
        <w:r>
          <w:rPr>
            <w:rStyle w:val="Hyperlink"/>
          </w:rPr>
          <w:t xml:space="preserve">https://www.fresnostate.edu/catalog/academic-regulations/index.html#computerreq</w:t>
        </w:r>
      </w:hyperlink>
    </w:p>
    <w:p>
      <w:pPr>
        <w:numPr>
          <w:ilvl w:val="0"/>
          <w:numId w:val="1008"/>
        </w:numPr>
        <w:pStyle w:val="Compact"/>
      </w:pPr>
      <w:r>
        <w:t xml:space="preserve">Disruptive classroom behavior:</w:t>
      </w:r>
      <w:r>
        <w:t xml:space="preserve"> </w:t>
      </w:r>
      <w:hyperlink r:id="rId48">
        <w:r>
          <w:rPr>
            <w:rStyle w:val="Hyperlink"/>
          </w:rPr>
          <w:t xml:space="preserve">http://www.fresnostate.edu/academics/facultyaffairs/documents/apm/419.pdf</w:t>
        </w:r>
      </w:hyperlink>
    </w:p>
    <w:p>
      <w:pPr>
        <w:pStyle w:val="Heading1"/>
      </w:pPr>
      <w:bookmarkStart w:id="49" w:name="university-services"/>
      <w:r>
        <w:t xml:space="preserve">University Services</w:t>
      </w:r>
      <w:bookmarkEnd w:id="49"/>
    </w:p>
    <w:p>
      <w:pPr>
        <w:numPr>
          <w:ilvl w:val="0"/>
          <w:numId w:val="1009"/>
        </w:numPr>
        <w:pStyle w:val="Compact"/>
      </w:pPr>
      <w:hyperlink r:id="rId50">
        <w:r>
          <w:rPr>
            <w:rStyle w:val="Hyperlink"/>
          </w:rPr>
          <w:t xml:space="preserve">Associated Students, Inc.</w:t>
        </w:r>
      </w:hyperlink>
    </w:p>
    <w:p>
      <w:pPr>
        <w:numPr>
          <w:ilvl w:val="0"/>
          <w:numId w:val="1009"/>
        </w:numPr>
        <w:pStyle w:val="Compact"/>
      </w:pPr>
      <w:hyperlink r:id="rId51">
        <w:r>
          <w:rPr>
            <w:rStyle w:val="Hyperlink"/>
          </w:rPr>
          <w:t xml:space="preserve">Dream Success Center</w:t>
        </w:r>
      </w:hyperlink>
    </w:p>
    <w:p>
      <w:pPr>
        <w:numPr>
          <w:ilvl w:val="0"/>
          <w:numId w:val="1009"/>
        </w:numPr>
        <w:pStyle w:val="Compact"/>
      </w:pPr>
      <w:hyperlink r:id="rId52">
        <w:r>
          <w:rPr>
            <w:rStyle w:val="Hyperlink"/>
          </w:rPr>
          <w:t xml:space="preserve">Learning Center Information</w:t>
        </w:r>
      </w:hyperlink>
    </w:p>
    <w:p>
      <w:pPr>
        <w:numPr>
          <w:ilvl w:val="0"/>
          <w:numId w:val="1009"/>
        </w:numPr>
        <w:pStyle w:val="Compact"/>
      </w:pPr>
      <w:hyperlink r:id="rId53">
        <w:r>
          <w:rPr>
            <w:rStyle w:val="Hyperlink"/>
          </w:rPr>
          <w:t xml:space="preserve">Student Health and Counseling Center</w:t>
        </w:r>
      </w:hyperlink>
    </w:p>
    <w:p>
      <w:pPr>
        <w:numPr>
          <w:ilvl w:val="0"/>
          <w:numId w:val="1009"/>
        </w:numPr>
        <w:pStyle w:val="Compact"/>
      </w:pPr>
      <w:hyperlink r:id="rId54">
        <w:r>
          <w:rPr>
            <w:rStyle w:val="Hyperlink"/>
          </w:rPr>
          <w:t xml:space="preserve">Writing Center</w:t>
        </w:r>
      </w:hyperlink>
    </w:p>
    <w:sectPr w:rsidR="00CB389F" w:rsidRPr="00CB389F">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nion Pro">
    <w:panose1 w:val="020B0604020202020204"/>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Cond">
    <w:panose1 w:val="02040706060201020203"/>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8AA2D93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AD44C4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E0FCC4A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78387DB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1881AA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0E0B81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B1C7B6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864D29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38432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BB6E04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E37D9D"/>
    <w:multiLevelType w:val="hybridMultilevel"/>
    <w:tmpl w:val="65EEF8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0753D72"/>
    <w:multiLevelType w:val="hybridMultilevel"/>
    <w:tmpl w:val="EA100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0166C"/>
    <w:multiLevelType w:val="hybridMultilevel"/>
    <w:tmpl w:val="B4C8C93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49EE65DD"/>
    <w:multiLevelType w:val="hybridMultilevel"/>
    <w:tmpl w:val="260E2F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47065E0"/>
    <w:multiLevelType w:val="hybridMultilevel"/>
    <w:tmpl w:val="02F4C4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5"/>
  </w:num>
  <w:num w:numId="15">
    <w:abstractNumId w:val="14"/>
  </w:num>
  <w:num w:numId="16">
    <w:abstractNumId w:val="16"/>
  </w:num>
  <w:num w:numId="17">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85C08"/>
    <w:pPr>
      <w:spacing w:after="120" w:line="254" w:lineRule="auto"/>
    </w:pPr>
    <w:rPr>
      <w:rFonts w:ascii="Minion Pro" w:hAnsi="Minion Pro" w:cs="Times New Roman (Body CS)"/>
      <w:kern w:val="20"/>
      <w:sz w:val="22"/>
      <w14:ligatures w14:val="standardContextual"/>
    </w:rPr>
  </w:style>
  <w:style w:type="paragraph" w:styleId="Heading1">
    <w:name w:val="heading 1"/>
    <w:basedOn w:val="Heading2"/>
    <w:next w:val="Normal"/>
    <w:uiPriority w:val="9"/>
    <w:qFormat/>
    <w:rsid w:val="009267A9"/>
    <w:pPr>
      <w:spacing w:line="320" w:lineRule="exact"/>
      <w:outlineLvl w:val="0"/>
    </w:pPr>
    <w:rPr>
      <w:kern w:val="22"/>
      <w:sz w:val="26"/>
      <w:szCs w:val="26"/>
    </w:rPr>
  </w:style>
  <w:style w:type="paragraph" w:styleId="Heading2">
    <w:name w:val="heading 2"/>
    <w:basedOn w:val="Normal"/>
    <w:next w:val="Normal"/>
    <w:uiPriority w:val="9"/>
    <w:unhideWhenUsed/>
    <w:qFormat/>
    <w:rsid w:val="009267A9"/>
    <w:pPr>
      <w:keepNext/>
      <w:keepLines/>
      <w:spacing w:before="240" w:line="240" w:lineRule="exact"/>
      <w:outlineLvl w:val="1"/>
    </w:pPr>
    <w:rPr>
      <w:rFonts w:eastAsiaTheme="majorEastAsia" w:cs="Times New Roman (Headings CS)"/>
      <w:b/>
      <w:bCs/>
      <w:sz w:val="24"/>
      <w:szCs w:val="28"/>
      <w14:ligatures w14:val="standard"/>
    </w:rPr>
  </w:style>
  <w:style w:type="paragraph" w:styleId="Heading3">
    <w:name w:val="heading 3"/>
    <w:basedOn w:val="Normal"/>
    <w:next w:val="Normal"/>
    <w:uiPriority w:val="9"/>
    <w:unhideWhenUsed/>
    <w:qFormat/>
    <w:rsid w:val="009267A9"/>
    <w:pPr>
      <w:keepNext/>
      <w:keepLines/>
      <w:spacing w:before="240" w:line="264" w:lineRule="exact"/>
      <w:outlineLvl w:val="2"/>
    </w:pPr>
    <w:rPr>
      <w:rFonts w:eastAsiaTheme="majorEastAsia" w:cs="Times New Roman (Headings CS)"/>
      <w:b/>
      <w:bCs/>
      <w14:ligatures w14:val="standard"/>
    </w:rPr>
  </w:style>
  <w:style w:type="paragraph" w:styleId="Heading4">
    <w:name w:val="heading 4"/>
    <w:basedOn w:val="Normal"/>
    <w:next w:val="BodyText"/>
    <w:uiPriority w:val="9"/>
    <w:unhideWhenUsed/>
    <w:qFormat/>
    <w:rsid w:val="001076B4"/>
    <w:pPr>
      <w:keepNext/>
      <w:keepLines/>
      <w:spacing w:before="200" w:after="0" w:line="264" w:lineRule="exact"/>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line="264" w:lineRule="exact"/>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line="264" w:lineRule="exact"/>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85C08"/>
  </w:style>
  <w:style w:type="paragraph" w:customStyle="1" w:styleId="FirstParagraph">
    <w:name w:val="First Paragraph"/>
    <w:basedOn w:val="BodyText"/>
    <w:next w:val="BodyText"/>
    <w:qFormat/>
    <w:rsid w:val="00B85C08"/>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Cond" w:eastAsiaTheme="majorEastAsia" w:hAnsi="Minion Pro Cond" w:cs="Times New Roman (Headings CS)"/>
      <w:b/>
      <w:bCs/>
      <w:sz w:val="36"/>
      <w:szCs w:val="36"/>
    </w:rPr>
  </w:style>
  <w:style w:type="paragraph" w:styleId="Subtitle">
    <w:name w:val="Subtitle"/>
    <w:basedOn w:val="Title"/>
    <w:next w:val="BodyText"/>
    <w:qFormat/>
    <w:rsid w:val="003D1E97"/>
    <w:pPr>
      <w:spacing w:before="240" w:line="360" w:lineRule="exact"/>
    </w:pPr>
    <w:rPr>
      <w:sz w:val="28"/>
      <w:szCs w:val="28"/>
      <w:lang w:val="pl-PL"/>
    </w:rPr>
  </w:style>
  <w:style w:type="paragraph" w:customStyle="1" w:styleId="Author">
    <w:name w:val="Author"/>
    <w:basedOn w:val="Normal"/>
    <w:next w:val="BodyText"/>
    <w:qFormat/>
    <w:rsid w:val="000A6B32"/>
    <w:pPr>
      <w:spacing w:line="264" w:lineRule="exact"/>
    </w:pPr>
    <w:rPr>
      <w:i/>
      <w:iCs/>
    </w:rPr>
  </w:style>
  <w:style w:type="paragraph" w:styleId="Date">
    <w:name w:val="Date"/>
    <w:next w:val="BodyText"/>
    <w:qFormat/>
    <w:pPr>
      <w:keepNext/>
      <w:keepLines/>
      <w:jc w:val="center"/>
    </w:pPr>
  </w:style>
  <w:style w:type="paragraph" w:customStyle="1" w:styleId="Abstract">
    <w:name w:val="Abstract"/>
    <w:basedOn w:val="Normal"/>
    <w:next w:val="BodyText"/>
    <w:qFormat/>
    <w:rsid w:val="004C1D2D"/>
    <w:pPr>
      <w:keepNext/>
      <w:keepLines/>
      <w:spacing w:before="300" w:after="300" w:line="264" w:lineRule="exact"/>
      <w:ind w:left="960"/>
    </w:pPr>
    <w:rPr>
      <w:sz w:val="20"/>
      <w:szCs w:val="20"/>
    </w:rPr>
  </w:style>
  <w:style w:type="paragraph" w:styleId="Bibliography">
    <w:name w:val="Bibliography"/>
    <w:basedOn w:val="Normal"/>
    <w:qFormat/>
    <w:pPr>
      <w:spacing w:line="264" w:lineRule="exac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line="264" w:lineRule="exact"/>
    </w:pPr>
  </w:style>
  <w:style w:type="paragraph" w:customStyle="1" w:styleId="DefinitionTerm">
    <w:name w:val="Definition Term"/>
    <w:basedOn w:val="Normal"/>
    <w:next w:val="Definition"/>
    <w:pPr>
      <w:keepNext/>
      <w:keepLines/>
      <w:spacing w:after="0" w:line="264" w:lineRule="exact"/>
    </w:pPr>
    <w:rPr>
      <w:b/>
    </w:rPr>
  </w:style>
  <w:style w:type="paragraph" w:customStyle="1" w:styleId="Definition">
    <w:name w:val="Definition"/>
    <w:basedOn w:val="Normal"/>
    <w:pPr>
      <w:spacing w:line="264" w:lineRule="exact"/>
    </w:pPr>
  </w:style>
  <w:style w:type="paragraph" w:styleId="Caption">
    <w:name w:val="caption"/>
    <w:basedOn w:val="Normal"/>
    <w:link w:val="CaptionChar"/>
    <w:pPr>
      <w:spacing w:line="264" w:lineRule="exact"/>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line="264" w:lineRule="exact"/>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outlineLvl w:val="9"/>
    </w:pPr>
    <w:rPr>
      <w:b w:val="0"/>
      <w:bCs w:val="0"/>
    </w:rPr>
  </w:style>
  <w:style w:type="character" w:customStyle="1" w:styleId="BodyTextChar">
    <w:name w:val="Body Text Char"/>
    <w:basedOn w:val="DefaultParagraphFont"/>
    <w:link w:val="BodyText"/>
    <w:rsid w:val="00B85C08"/>
    <w:rPr>
      <w:rFonts w:ascii="Minion Pro" w:hAnsi="Minion Pro" w:cs="Times New Roman (Body CS)"/>
      <w:kern w:val="20"/>
      <w:sz w:val="22"/>
      <w14:ligatures w14:val="standardContextual"/>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B97F82"/>
    <w:pPr>
      <w:spacing w:line="264" w:lineRule="exact"/>
      <w:ind w:left="720"/>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muchalski@mail.fresnostate.edu" TargetMode="External" /><Relationship Type="http://schemas.openxmlformats.org/officeDocument/2006/relationships/hyperlink" Id="rId43" Target="http://fresnostate.edu/studentaffairs/careers/students/interests/disabilities.html" TargetMode="External" /><Relationship Type="http://schemas.openxmlformats.org/officeDocument/2006/relationships/hyperlink" Id="rId41" Target="http://fresnostate.edu/studentaffairs/classschedule/policy/" TargetMode="External" /><Relationship Type="http://schemas.openxmlformats.org/officeDocument/2006/relationships/hyperlink" Id="rId51" Target="http://fresnostate.edu/studentaffairs/dsc/index.html" TargetMode="External" /><Relationship Type="http://schemas.openxmlformats.org/officeDocument/2006/relationships/hyperlink" Id="rId52" Target="http://fresnostate.edu/studentaffairs/lrc" TargetMode="External" /><Relationship Type="http://schemas.openxmlformats.org/officeDocument/2006/relationships/hyperlink" Id="rId45" Target="http://fresnostate.edu/studentaffairs/studentconduct/policies/cheating-plagiarism.html" TargetMode="External" /><Relationship Type="http://schemas.openxmlformats.org/officeDocument/2006/relationships/hyperlink" Id="rId50" Target="http://fresnostateasi.org/" TargetMode="External" /><Relationship Type="http://schemas.openxmlformats.org/officeDocument/2006/relationships/hyperlink" Id="rId42" Target="http://libguides.csufresno.edu/copyright" TargetMode="External" /><Relationship Type="http://schemas.openxmlformats.org/officeDocument/2006/relationships/hyperlink" Id="rId44" Target="http://www.fresnostate.edu/academics/facultyaffairs/documents/apm/236.pdf" TargetMode="External" /><Relationship Type="http://schemas.openxmlformats.org/officeDocument/2006/relationships/hyperlink" Id="rId48" Target="http://www.fresnostate.edu/academics/facultyaffairs/documents/apm/419.pdf" TargetMode="External" /><Relationship Type="http://schemas.openxmlformats.org/officeDocument/2006/relationships/hyperlink" Id="rId37" Target="http://www.fresnostate.edu/aps/documents/apm/235.pdf" TargetMode="External" /><Relationship Type="http://schemas.openxmlformats.org/officeDocument/2006/relationships/hyperlink" Id="rId54" Target="http://www.fresnostate.edu/artshum/writingcenter/" TargetMode="External" /><Relationship Type="http://schemas.openxmlformats.org/officeDocument/2006/relationships/hyperlink" Id="rId40" Target="http://www.fresnostate.edu/catalog/academic-regulations/" TargetMode="External" /><Relationship Type="http://schemas.openxmlformats.org/officeDocument/2006/relationships/hyperlink" Id="rId46" Target="http://www.fresnostate.edu/studentaffairs/registrar/registration/" TargetMode="External" /><Relationship Type="http://schemas.openxmlformats.org/officeDocument/2006/relationships/hyperlink" Id="rId35" Target="http://www.respondus.com/lockdown/download.php?id=749643058" TargetMode="External" /><Relationship Type="http://schemas.openxmlformats.org/officeDocument/2006/relationships/hyperlink" Id="rId26" Target="https://fresnostate.instructure.com/courses/3782" TargetMode="External" /><Relationship Type="http://schemas.openxmlformats.org/officeDocument/2006/relationships/hyperlink" Id="rId28" Target="https://goo.gl/1UFRbo" TargetMode="External" /><Relationship Type="http://schemas.openxmlformats.org/officeDocument/2006/relationships/hyperlink" Id="rId29" Target="https://www.acs.org/content/dam/acsorg/about/governance/committees/chemicalsafety/publications/acs-safety-guidelines-academic.pdf" TargetMode="External" /><Relationship Type="http://schemas.openxmlformats.org/officeDocument/2006/relationships/hyperlink" Id="rId47" Target="https://www.fresnostate.edu/catalog/academic-regulations/index.html#computerreq" TargetMode="External" /><Relationship Type="http://schemas.openxmlformats.org/officeDocument/2006/relationships/hyperlink" Id="rId53" Target="https://www.fresnostate.edu/studentaffairs/health/" TargetMode="External" /></Relationships>
</file>

<file path=word/_rels/footnotes.xml.rels><?xml version="1.0" encoding="UTF-8"?>
<Relationships xmlns="http://schemas.openxmlformats.org/package/2006/relationships"><Relationship Type="http://schemas.openxmlformats.org/officeDocument/2006/relationships/hyperlink" Id="rId22" Target="hmuchalski@mail.fresnostate.edu" TargetMode="External" /><Relationship Type="http://schemas.openxmlformats.org/officeDocument/2006/relationships/hyperlink" Id="rId43" Target="http://fresnostate.edu/studentaffairs/careers/students/interests/disabilities.html" TargetMode="External" /><Relationship Type="http://schemas.openxmlformats.org/officeDocument/2006/relationships/hyperlink" Id="rId41" Target="http://fresnostate.edu/studentaffairs/classschedule/policy/" TargetMode="External" /><Relationship Type="http://schemas.openxmlformats.org/officeDocument/2006/relationships/hyperlink" Id="rId51" Target="http://fresnostate.edu/studentaffairs/dsc/index.html" TargetMode="External" /><Relationship Type="http://schemas.openxmlformats.org/officeDocument/2006/relationships/hyperlink" Id="rId52" Target="http://fresnostate.edu/studentaffairs/lrc" TargetMode="External" /><Relationship Type="http://schemas.openxmlformats.org/officeDocument/2006/relationships/hyperlink" Id="rId45" Target="http://fresnostate.edu/studentaffairs/studentconduct/policies/cheating-plagiarism.html" TargetMode="External" /><Relationship Type="http://schemas.openxmlformats.org/officeDocument/2006/relationships/hyperlink" Id="rId50" Target="http://fresnostateasi.org/" TargetMode="External" /><Relationship Type="http://schemas.openxmlformats.org/officeDocument/2006/relationships/hyperlink" Id="rId42" Target="http://libguides.csufresno.edu/copyright" TargetMode="External" /><Relationship Type="http://schemas.openxmlformats.org/officeDocument/2006/relationships/hyperlink" Id="rId44" Target="http://www.fresnostate.edu/academics/facultyaffairs/documents/apm/236.pdf" TargetMode="External" /><Relationship Type="http://schemas.openxmlformats.org/officeDocument/2006/relationships/hyperlink" Id="rId48" Target="http://www.fresnostate.edu/academics/facultyaffairs/documents/apm/419.pdf" TargetMode="External" /><Relationship Type="http://schemas.openxmlformats.org/officeDocument/2006/relationships/hyperlink" Id="rId37" Target="http://www.fresnostate.edu/aps/documents/apm/235.pdf" TargetMode="External" /><Relationship Type="http://schemas.openxmlformats.org/officeDocument/2006/relationships/hyperlink" Id="rId54" Target="http://www.fresnostate.edu/artshum/writingcenter/" TargetMode="External" /><Relationship Type="http://schemas.openxmlformats.org/officeDocument/2006/relationships/hyperlink" Id="rId40" Target="http://www.fresnostate.edu/catalog/academic-regulations/" TargetMode="External" /><Relationship Type="http://schemas.openxmlformats.org/officeDocument/2006/relationships/hyperlink" Id="rId46" Target="http://www.fresnostate.edu/studentaffairs/registrar/registration/" TargetMode="External" /><Relationship Type="http://schemas.openxmlformats.org/officeDocument/2006/relationships/hyperlink" Id="rId35" Target="http://www.respondus.com/lockdown/download.php?id=749643058" TargetMode="External" /><Relationship Type="http://schemas.openxmlformats.org/officeDocument/2006/relationships/hyperlink" Id="rId26" Target="https://fresnostate.instructure.com/courses/3782" TargetMode="External" /><Relationship Type="http://schemas.openxmlformats.org/officeDocument/2006/relationships/hyperlink" Id="rId28" Target="https://goo.gl/1UFRbo" TargetMode="External" /><Relationship Type="http://schemas.openxmlformats.org/officeDocument/2006/relationships/hyperlink" Id="rId29" Target="https://www.acs.org/content/dam/acsorg/about/governance/committees/chemicalsafety/publications/acs-safety-guidelines-academic.pdf" TargetMode="External" /><Relationship Type="http://schemas.openxmlformats.org/officeDocument/2006/relationships/hyperlink" Id="rId47" Target="https://www.fresnostate.edu/catalog/academic-regulations/index.html#computerreq" TargetMode="External" /><Relationship Type="http://schemas.openxmlformats.org/officeDocument/2006/relationships/hyperlink" Id="rId53" Target="https://www.fresnostate.edu/studentaffairs/heal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Organic Chemistry Laboratory 1</dc:title>
  <dc:creator>Coordinator: Hubert Muchalski, Ph.D.</dc:creator>
  <cp:keywords/>
  <dcterms:created xsi:type="dcterms:W3CDTF">2020-08-12T06:04:13Z</dcterms:created>
  <dcterms:modified xsi:type="dcterms:W3CDTF">2020-08-12T06:04:13Z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129A, Fall 2020 (Virtual Classroom)</vt:lpwstr>
  </property>
</Properties>
</file>