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Research</w:t>
      </w:r>
      <w:r>
        <w:t xml:space="preserve"> </w:t>
      </w:r>
      <w:r>
        <w:t xml:space="preserve">Techniques</w:t>
      </w:r>
    </w:p>
    <w:p>
      <w:pPr>
        <w:pStyle w:val="Subtitle"/>
      </w:pPr>
      <w:r>
        <w:t xml:space="preserve">CHEM</w:t>
      </w:r>
      <w:r>
        <w:t xml:space="preserve"> </w:t>
      </w:r>
      <w:r>
        <w:t xml:space="preserve">160H</w:t>
      </w:r>
      <w:r>
        <w:t xml:space="preserve"> </w:t>
      </w:r>
      <w:r>
        <w:t xml:space="preserve">and</w:t>
      </w:r>
      <w:r>
        <w:t xml:space="preserve"> </w:t>
      </w:r>
      <w:r>
        <w:t xml:space="preserve">CHEM</w:t>
      </w:r>
      <w:r>
        <w:t xml:space="preserve"> </w:t>
      </w:r>
      <w:r>
        <w:t xml:space="preserve">260,</w:t>
      </w:r>
      <w:r>
        <w:t xml:space="preserve"> </w:t>
      </w:r>
      <w:r>
        <w:t xml:space="preserve">Spring</w:t>
      </w:r>
      <w:r>
        <w:t xml:space="preserve"> </w:t>
      </w:r>
      <w:r>
        <w:t xml:space="preserve">2020</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Advanced Research Techniques (graduate, 3 Units); Research Techniques; CHEM 160H (undergraduate, 3 Units).</w:t>
      </w:r>
    </w:p>
    <w:p>
      <w:pPr>
        <w:pStyle w:val="Compact"/>
        <w:numPr>
          <w:numId w:val="1001"/>
          <w:ilvl w:val="0"/>
        </w:numPr>
      </w:pPr>
      <w:r>
        <w:rPr>
          <w:b/>
        </w:rPr>
        <w:t xml:space="preserve">Time and location</w:t>
      </w:r>
      <w:r>
        <w:t xml:space="preserve">: Friday, 08:00–08:50 AM in S1-242 (lecture)</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https://fresnostate.instructure.com/courses/19960</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 ACS Style Guide: Effective Communication of Scientific Information. Editor(s):Anne M. Coghill and Lorrin R. Garson.</w:t>
      </w:r>
      <w:r>
        <w:t xml:space="preserve"> </w:t>
      </w:r>
      <w:hyperlink r:id="rId23">
        <w:r>
          <w:rPr>
            <w:rStyle w:val="Hyperlink"/>
          </w:rPr>
          <w:t xml:space="preserve">DOI: 10.1021/bk-2006-STYG</w:t>
        </w:r>
      </w:hyperlink>
    </w:p>
    <w:p>
      <w:pPr>
        <w:pStyle w:val="Compact"/>
        <w:numPr>
          <w:numId w:val="1001"/>
          <w:ilvl w:val="0"/>
        </w:numPr>
      </w:pPr>
      <w:r>
        <w:rPr>
          <w:b/>
        </w:rPr>
        <w:t xml:space="preserve">Software and Services:</w:t>
      </w:r>
      <w:r>
        <w:t xml:space="preserve"> </w:t>
      </w:r>
      <w:r>
        <w:t xml:space="preserve">Scifinder Scholar account, EndNote, and ChemDraw.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(09:00–10:00 AM) and by appointment.</w:t>
      </w:r>
    </w:p>
    <w:p>
      <w:pPr>
        <w:pStyle w:val="Heading1"/>
      </w:pPr>
      <w:bookmarkStart w:id="24" w:name="introduction"/>
      <w:r>
        <w:t xml:space="preserve">Introduction</w:t>
      </w:r>
      <w:bookmarkEnd w:id="24"/>
    </w:p>
    <w:p>
      <w:pPr>
        <w:pStyle w:val="Heading2"/>
      </w:pPr>
      <w:bookmarkStart w:id="25" w:name="catalog-description"/>
      <w:r>
        <w:t xml:space="preserve">Catalog description</w:t>
      </w:r>
      <w:bookmarkEnd w:id="25"/>
    </w:p>
    <w:p>
      <w:pPr>
        <w:pStyle w:val="FirstParagraph"/>
      </w:pPr>
      <w:r>
        <w:t xml:space="preserve">Advanced concepts in experimental design. Development of practical research expertise and communication skills through the planning, completion, and presentation (both written and oral) of a short laboratory project.</w:t>
      </w:r>
    </w:p>
    <w:p>
      <w:pPr>
        <w:pStyle w:val="BodyText"/>
      </w:pPr>
      <w:r>
        <w:t xml:space="preserve">Success as a scientific researcher requires a number of skills that are not fully developed at the undergraduate level. In addition to proficiency with the appropriate experimental techniques and instrumentation, researchers must to be able to plan their time and experiments independently, and think creatively to overcome the problems that are inevitably encountered. Outside of the laboratory, researchers must have good written and oral communication skills both to present their work to others in the scientific community, and to effectively discuss their studies with fellow researchers.</w:t>
      </w:r>
    </w:p>
    <w:p>
      <w:pPr>
        <w:pStyle w:val="BodyText"/>
      </w:pPr>
      <w:r>
        <w:t xml:space="preserve">In this class you will have the opportunity to improve your research skills. You will work on an independent research project that may be (but does not have to be) your MS thesis project. You will learn key elements for effective scientific writing and presentations. You will gain experience in scientific writing and oral presentations through various assignments during the semester, culminating in the writing of a term paper on your research project. The ultimate goal of this course is to help you to develop the research skills necessary to successfully complete the MS degree.</w:t>
      </w:r>
    </w:p>
    <w:p>
      <w:pPr>
        <w:pStyle w:val="Heading2"/>
      </w:pPr>
      <w:bookmarkStart w:id="26" w:name="slo"/>
      <w:r>
        <w:t xml:space="preserve">Student Learning Outcomes</w:t>
      </w:r>
      <w:bookmarkEnd w:id="26"/>
    </w:p>
    <w:p>
      <w:pPr>
        <w:pStyle w:val="FirstParagraph"/>
      </w:pPr>
      <w:r>
        <w:t xml:space="preserve">Students who successfully complete this course should be able to:</w:t>
      </w:r>
    </w:p>
    <w:p>
      <w:pPr>
        <w:pStyle w:val="Compact"/>
        <w:numPr>
          <w:numId w:val="1002"/>
          <w:ilvl w:val="0"/>
        </w:numPr>
      </w:pPr>
      <w:r>
        <w:t xml:space="preserve">gain proficiency in the advanced experimental techniques in their area required to carry out graduate-level research;</w:t>
      </w:r>
    </w:p>
    <w:p>
      <w:pPr>
        <w:pStyle w:val="Compact"/>
        <w:numPr>
          <w:numId w:val="1002"/>
          <w:ilvl w:val="0"/>
        </w:numPr>
      </w:pPr>
      <w:r>
        <w:t xml:space="preserve">design, plan, and execute experiments to test scientific hypotheses;</w:t>
      </w:r>
    </w:p>
    <w:p>
      <w:pPr>
        <w:pStyle w:val="Compact"/>
        <w:numPr>
          <w:numId w:val="1002"/>
          <w:ilvl w:val="0"/>
        </w:numPr>
      </w:pPr>
      <w:r>
        <w:t xml:space="preserve">use the research tools and databases to find and extract relevant information from research papers;</w:t>
      </w:r>
    </w:p>
    <w:p>
      <w:pPr>
        <w:pStyle w:val="Compact"/>
        <w:numPr>
          <w:numId w:val="1002"/>
          <w:ilvl w:val="0"/>
        </w:numPr>
      </w:pPr>
      <w:r>
        <w:t xml:space="preserve">cite references appropriately and avoid plagiarism;</w:t>
      </w:r>
    </w:p>
    <w:p>
      <w:pPr>
        <w:pStyle w:val="Compact"/>
        <w:numPr>
          <w:numId w:val="1002"/>
          <w:ilvl w:val="0"/>
        </w:numPr>
      </w:pPr>
      <w:r>
        <w:t xml:space="preserve">communicate scientific information in both formal presentations and informal discussions; and</w:t>
      </w:r>
    </w:p>
    <w:p>
      <w:pPr>
        <w:pStyle w:val="Compact"/>
        <w:numPr>
          <w:numId w:val="1002"/>
          <w:ilvl w:val="0"/>
        </w:numPr>
      </w:pPr>
      <w:r>
        <w:t xml:space="preserve">write competently in the style of the appropriate scientific journals.</w:t>
      </w:r>
    </w:p>
    <w:p>
      <w:pPr>
        <w:pStyle w:val="Heading2"/>
      </w:pPr>
      <w:bookmarkStart w:id="27" w:name="topics"/>
      <w:r>
        <w:t xml:space="preserve">Topics</w:t>
      </w:r>
      <w:bookmarkEnd w:id="27"/>
    </w:p>
    <w:p>
      <w:pPr>
        <w:pStyle w:val="Compact"/>
        <w:numPr>
          <w:numId w:val="1003"/>
          <w:ilvl w:val="0"/>
        </w:numPr>
      </w:pPr>
      <w:r>
        <w:t xml:space="preserve">Tools for research: databases, journals, software, and services</w:t>
      </w:r>
    </w:p>
    <w:p>
      <w:pPr>
        <w:pStyle w:val="Compact"/>
        <w:numPr>
          <w:numId w:val="1003"/>
          <w:ilvl w:val="0"/>
        </w:numPr>
      </w:pPr>
      <w:r>
        <w:t xml:space="preserve">Components of scientific communication (manuscript and supporting information)</w:t>
      </w:r>
    </w:p>
    <w:p>
      <w:pPr>
        <w:pStyle w:val="Compact"/>
        <w:numPr>
          <w:numId w:val="1003"/>
          <w:ilvl w:val="0"/>
        </w:numPr>
      </w:pPr>
      <w:r>
        <w:t xml:space="preserve">Hypothesis and research proposal development, experimental design</w:t>
      </w:r>
    </w:p>
    <w:p>
      <w:pPr>
        <w:pStyle w:val="Compact"/>
        <w:numPr>
          <w:numId w:val="1003"/>
          <w:ilvl w:val="0"/>
        </w:numPr>
      </w:pPr>
      <w:r>
        <w:t xml:space="preserve">Publishing and peer-review</w:t>
      </w:r>
    </w:p>
    <w:p>
      <w:pPr>
        <w:pStyle w:val="Compact"/>
        <w:numPr>
          <w:numId w:val="1003"/>
          <w:ilvl w:val="0"/>
        </w:numPr>
      </w:pPr>
      <w:r>
        <w:t xml:space="preserve">Scientific misconduct and plagiarism</w:t>
      </w:r>
    </w:p>
    <w:p>
      <w:pPr>
        <w:pStyle w:val="Heading1"/>
      </w:pPr>
      <w:bookmarkStart w:id="28" w:name="types-of-graded-work"/>
      <w:r>
        <w:t xml:space="preserve">Types of graded work</w:t>
      </w:r>
      <w:bookmarkEnd w:id="28"/>
    </w:p>
    <w:p>
      <w:pPr>
        <w:pStyle w:val="Compact"/>
        <w:numPr>
          <w:numId w:val="1004"/>
          <w:ilvl w:val="0"/>
        </w:numPr>
      </w:pPr>
      <w:r>
        <w:t xml:space="preserve">Research proposal</w:t>
      </w:r>
    </w:p>
    <w:p>
      <w:pPr>
        <w:pStyle w:val="Compact"/>
        <w:numPr>
          <w:numId w:val="1004"/>
          <w:ilvl w:val="0"/>
        </w:numPr>
      </w:pPr>
      <w:r>
        <w:t xml:space="preserve">Presentation</w:t>
      </w:r>
    </w:p>
    <w:p>
      <w:pPr>
        <w:pStyle w:val="Compact"/>
        <w:numPr>
          <w:numId w:val="1004"/>
          <w:ilvl w:val="0"/>
        </w:numPr>
      </w:pPr>
      <w:r>
        <w:t xml:space="preserve">Research report</w:t>
      </w:r>
    </w:p>
    <w:p>
      <w:pPr>
        <w:pStyle w:val="Compact"/>
        <w:numPr>
          <w:numId w:val="1004"/>
          <w:ilvl w:val="0"/>
        </w:numPr>
      </w:pPr>
      <w:r>
        <w:t xml:space="preserve">Participation in in-class and online discussions</w:t>
      </w:r>
    </w:p>
    <w:p>
      <w:pPr>
        <w:pStyle w:val="FirstParagraph"/>
      </w:pPr>
      <w:r>
        <w:t xml:space="preserve">To support your learning and development I will provide assignments during the semester. Major assignments (listed above) will be graded. Other, smaller assignments will be ungraded. However, they must be submitted on time and meet all listed criteria to be deemed satisfactory.</w:t>
      </w:r>
    </w:p>
    <w:p>
      <w:pPr>
        <w:pStyle w:val="Heading2"/>
      </w:pPr>
      <w:bookmarkStart w:id="29" w:name="lab-section"/>
      <w:r>
        <w:t xml:space="preserve">Lab section</w:t>
      </w:r>
      <w:bookmarkEnd w:id="29"/>
    </w:p>
    <w:p>
      <w:pPr>
        <w:pStyle w:val="FirstParagraph"/>
      </w:pPr>
      <w:r>
        <w:t xml:space="preserve">At the beginning of the semester you must identify a faculty member in the department who is willing to act as your research advisor (if you do not already have one). Together, you will identify your research project. For graduate students it can be the same as the MS thesis project. Undergraduate students will work on their Honors thesis project. You will be expected to work on the research project for a minimum of six hours per week during the semester. You should discuss lab hour requirements and expectations with your advisor. The grade for this section of the course will be assigned in consultation with your research advisor.</w:t>
      </w:r>
    </w:p>
    <w:p>
      <w:pPr>
        <w:pStyle w:val="Heading2"/>
      </w:pPr>
      <w:bookmarkStart w:id="30" w:name="final-letter-grade-scheme"/>
      <w:r>
        <w:t xml:space="preserve">Final letter grade scheme</w:t>
      </w:r>
      <w:bookmarkEnd w:id="30"/>
    </w:p>
    <w:p>
      <w:pPr>
        <w:pStyle w:val="FirstParagraph"/>
      </w:pPr>
      <w:r>
        <w:t xml:space="preserve">The letter grade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Subtotal</w:t>
            </w:r>
          </w:p>
        </w:tc>
      </w:tr>
      <w:tr>
        <w:tc>
          <w:p>
            <w:pPr>
              <w:pStyle w:val="Compact"/>
              <w:jc w:val="left"/>
            </w:pPr>
            <w:r>
              <w:t xml:space="preserve">Laboratory (graded w/ advisor)</w:t>
            </w:r>
          </w:p>
        </w:tc>
        <w:tc>
          <w:p>
            <w:pPr>
              <w:pStyle w:val="Compact"/>
              <w:jc w:val="left"/>
            </w:pPr>
            <w:r>
              <w:t xml:space="preserve">40%</w:t>
            </w:r>
          </w:p>
        </w:tc>
      </w:tr>
      <w:tr>
        <w:tc>
          <w:p>
            <w:pPr>
              <w:pStyle w:val="Compact"/>
              <w:jc w:val="left"/>
            </w:pPr>
            <w:r>
              <w:t xml:space="preserve">Drafts</w:t>
            </w:r>
          </w:p>
        </w:tc>
        <w:tc>
          <w:p>
            <w:pPr>
              <w:pStyle w:val="Compact"/>
              <w:jc w:val="left"/>
            </w:pPr>
            <w:r>
              <w:t xml:space="preserve">15%</w:t>
            </w:r>
          </w:p>
        </w:tc>
      </w:tr>
      <w:tr>
        <w:tc>
          <w:p>
            <w:pPr>
              <w:pStyle w:val="Compact"/>
              <w:jc w:val="left"/>
            </w:pPr>
            <w:r>
              <w:t xml:space="preserve">In-class presentations</w:t>
            </w:r>
          </w:p>
        </w:tc>
        <w:tc>
          <w:p>
            <w:pPr>
              <w:pStyle w:val="Compact"/>
              <w:jc w:val="left"/>
            </w:pPr>
            <w:r>
              <w:t xml:space="preserve">10%</w:t>
            </w:r>
          </w:p>
        </w:tc>
      </w:tr>
      <w:tr>
        <w:tc>
          <w:p>
            <w:pPr>
              <w:pStyle w:val="Compact"/>
              <w:jc w:val="left"/>
            </w:pPr>
            <w:r>
              <w:t xml:space="preserve">Final presentation</w:t>
            </w:r>
          </w:p>
        </w:tc>
        <w:tc>
          <w:p>
            <w:pPr>
              <w:pStyle w:val="Compact"/>
              <w:jc w:val="left"/>
            </w:pPr>
            <w:r>
              <w:t xml:space="preserve">10%</w:t>
            </w:r>
          </w:p>
        </w:tc>
      </w:tr>
      <w:tr>
        <w:tc>
          <w:p>
            <w:pPr>
              <w:pStyle w:val="Compact"/>
              <w:jc w:val="left"/>
            </w:pPr>
            <w:r>
              <w:t xml:space="preserve">Final paper</w:t>
            </w:r>
          </w:p>
        </w:tc>
        <w:tc>
          <w:p>
            <w:pPr>
              <w:pStyle w:val="Compact"/>
              <w:jc w:val="left"/>
            </w:pPr>
            <w:r>
              <w:t xml:space="preserve">25%</w:t>
            </w:r>
          </w:p>
        </w:tc>
      </w:tr>
    </w:tbl>
    <w:p>
      <w:pPr>
        <w:pStyle w:val="Heading1"/>
      </w:pPr>
      <w:bookmarkStart w:id="31" w:name="course-policies"/>
      <w:r>
        <w:t xml:space="preserve">Course policies</w:t>
      </w:r>
      <w:bookmarkEnd w:id="31"/>
    </w:p>
    <w:p>
      <w:pPr>
        <w:pStyle w:val="Heading2"/>
      </w:pPr>
      <w:bookmarkStart w:id="32" w:name="late-work-policy"/>
      <w:r>
        <w:t xml:space="preserve">Late work policy</w:t>
      </w:r>
      <w:bookmarkEnd w:id="32"/>
    </w:p>
    <w:p>
      <w:pPr>
        <w:pStyle w:val="FirstParagraph"/>
      </w:pPr>
      <w:r>
        <w:t xml:space="preserve">Late assignments will will not be accepted and will receive score of 0.</w:t>
      </w:r>
    </w:p>
    <w:p>
      <w:pPr>
        <w:pStyle w:val="Heading2"/>
      </w:pPr>
      <w:bookmarkStart w:id="33" w:name="technology-issues-when-submitting-work"/>
      <w:r>
        <w:t xml:space="preserve">Technology issues when submitting work</w:t>
      </w:r>
      <w:bookmarkEnd w:id="33"/>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4" w:name="academic-dishonesty"/>
      <w:r>
        <w:t xml:space="preserve">Academic dishonesty</w:t>
      </w:r>
      <w:bookmarkEnd w:id="3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6" w:name="plagiarism-detection"/>
      <w:r>
        <w:t xml:space="preserve">Plagiarism Detection</w:t>
      </w:r>
      <w:bookmarkEnd w:id="36"/>
    </w:p>
    <w:p>
      <w:pPr>
        <w:pStyle w:val="FirstParagraph"/>
      </w:pPr>
      <w:r>
        <w:t xml:space="preserve">The campus subscribes to Turnitin and the SafeAssign plagiarism prevention service through Canvas, and you will need to submit written assignments to Turnitin/SafeAssign. Student work will be used for plagiarism detection and for no other purpose. The student may indicate in writing to the instructor that he/she refuses to participate in the plagiarism detection process, in which case the instructor can use other electronic means to verify the originality of their work. Turnitin/SafeAssign Originality Reports will be available for your viewing.</w:t>
      </w:r>
    </w:p>
    <w:p>
      <w:pPr>
        <w:pStyle w:val="Heading2"/>
      </w:pPr>
      <w:bookmarkStart w:id="37" w:name="X1f010d16c6f4ce1d23e7ec3c98a04e3190a1648"/>
      <w:r>
        <w:t xml:space="preserve">Dropping the course after the census date</w:t>
      </w:r>
      <w:bookmarkEnd w:id="37"/>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8" w:name="university-policies-and-disclaimers"/>
      <w:r>
        <w:t xml:space="preserve">University policies and disclaimers</w:t>
      </w:r>
      <w:bookmarkEnd w:id="38"/>
    </w:p>
    <w:p>
      <w:pPr>
        <w:pStyle w:val="FirstParagraph"/>
      </w:pPr>
      <w:r>
        <w:t xml:space="preserve">In addition to course policies, you are expected to be familiar with Academic Regulations described in the</w:t>
      </w:r>
      <w:r>
        <w:t xml:space="preserve"> </w:t>
      </w:r>
      <w:hyperlink r:id="rId39">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40">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41">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42">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43">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4">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5">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6">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7">
        <w:r>
          <w:rPr>
            <w:rStyle w:val="Hyperlink"/>
          </w:rPr>
          <w:t xml:space="preserve">http://www.fresnostate.edu/academics/facultyaffairs/documents/apm/419.pdf</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42" Target="http://fresnostate.edu/studentaffairs/careers/students/interests/disabilities.html" TargetMode="External" /><Relationship Type="http://schemas.openxmlformats.org/officeDocument/2006/relationships/hyperlink" Id="rId40" Target="http://fresnostate.edu/studentaffairs/classschedule/policy/" TargetMode="External" /><Relationship Type="http://schemas.openxmlformats.org/officeDocument/2006/relationships/hyperlink" Id="rId44" Target="http://fresnostate.edu/studentaffairs/studentconduct/policies/cheating-plagiarism.html" TargetMode="External" /><Relationship Type="http://schemas.openxmlformats.org/officeDocument/2006/relationships/hyperlink" Id="rId41" Target="http://libguides.csufresno.edu/copyright" TargetMode="External" /><Relationship Type="http://schemas.openxmlformats.org/officeDocument/2006/relationships/hyperlink" Id="rId23" Target="http://login.hmlproxy.lib.csufresno.edu/login?url=http://dx.doi.org/10.1021/bk-2006-STYG" TargetMode="External" /><Relationship Type="http://schemas.openxmlformats.org/officeDocument/2006/relationships/hyperlink" Id="rId43" Target="http://www.fresnostate.edu/academics/facultyaffairs/documents/apm/236.pdf" TargetMode="External" /><Relationship Type="http://schemas.openxmlformats.org/officeDocument/2006/relationships/hyperlink" Id="rId47" Target="http://www.fresnostate.edu/academics/facultyaffairs/documents/apm/419.pdf" TargetMode="External" /><Relationship Type="http://schemas.openxmlformats.org/officeDocument/2006/relationships/hyperlink" Id="rId35" Target="http://www.fresnostate.edu/aps/documents/apm/235.pdf" TargetMode="External" /><Relationship Type="http://schemas.openxmlformats.org/officeDocument/2006/relationships/hyperlink" Id="rId39" Target="http://www.fresnostate.edu/catalog/academic-regulations/" TargetMode="External" /><Relationship Type="http://schemas.openxmlformats.org/officeDocument/2006/relationships/hyperlink" Id="rId45" Target="http://www.fresnostate.edu/studentaffairs/registrar/registration/" TargetMode="External" /><Relationship Type="http://schemas.openxmlformats.org/officeDocument/2006/relationships/hyperlink" Id="rId22" Target="https://fresnostate.instructure.com/courses/19960" TargetMode="External" /><Relationship Type="http://schemas.openxmlformats.org/officeDocument/2006/relationships/hyperlink" Id="rId46" Target="https://www.fresnostate.edu/catalog/academic-regulations/index.html#computerre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Research Techniques</dc:title>
  <dc:creator>Instructor: Hubert Muchalski, Ph.D.</dc:creator>
  <cp:keywords/>
  <dcterms:created xsi:type="dcterms:W3CDTF">2020-01-16T07:15:40Z</dcterms:created>
  <dcterms:modified xsi:type="dcterms:W3CDTF">2020-01-16T07:15:40Z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160H and CHEM 260, Spring 2020</vt:lpwstr>
  </property>
</Properties>
</file>