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Advanced Research Techniques (graduate, 3 Units); Research Techniques; CHEM 160H (undergraduate, 3 Units).</w:t>
      </w:r>
    </w:p>
    <w:p>
      <w:pPr>
        <w:pStyle w:val="Compact"/>
        <w:numPr>
          <w:numId w:val="1001"/>
          <w:ilvl w:val="0"/>
        </w:numPr>
      </w:pPr>
      <w:r>
        <w:rPr>
          <w:b/>
        </w:rPr>
        <w:t xml:space="preserve">Time and location</w:t>
      </w:r>
      <w:r>
        <w:t xml:space="preserve">: Friday, 08:00–08:50 AM in S1-242 (lecture)</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pStyle w:val="Compact"/>
        <w:numPr>
          <w:numId w:val="1001"/>
          <w:ilvl w:val="0"/>
        </w:numPr>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(Friday 09:00–10:00 AM), Wednesday 03:00–03:50 PM and by appointment.</w:t>
      </w:r>
    </w:p>
    <w:p>
      <w:pPr>
        <w:pStyle w:val="Heading1"/>
      </w:pPr>
      <w:bookmarkStart w:id="24" w:name="introduction"/>
      <w:r>
        <w:t xml:space="preserve">Introduction</w:t>
      </w:r>
      <w:bookmarkEnd w:id="24"/>
    </w:p>
    <w:p>
      <w:pPr>
        <w:pStyle w:val="Heading2"/>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2"/>
      </w:pPr>
      <w:bookmarkStart w:id="26" w:name="slo"/>
      <w:r>
        <w:t xml:space="preserve">Student Learning Outcomes</w:t>
      </w:r>
      <w:bookmarkEnd w:id="26"/>
    </w:p>
    <w:p>
      <w:pPr>
        <w:pStyle w:val="FirstParagraph"/>
      </w:pPr>
      <w:r>
        <w:t xml:space="preserve">Students who successfully complete this course should be able to:</w:t>
      </w:r>
    </w:p>
    <w:p>
      <w:pPr>
        <w:pStyle w:val="Compact"/>
        <w:numPr>
          <w:numId w:val="1002"/>
          <w:ilvl w:val="0"/>
        </w:numPr>
      </w:pPr>
      <w:r>
        <w:t xml:space="preserve">gain proficiency in the advanced experimental techniques in their area required to carry out graduate-level research;</w:t>
      </w:r>
    </w:p>
    <w:p>
      <w:pPr>
        <w:pStyle w:val="Compact"/>
        <w:numPr>
          <w:numId w:val="1002"/>
          <w:ilvl w:val="0"/>
        </w:numPr>
      </w:pPr>
      <w:r>
        <w:t xml:space="preserve">design, plan, and execute experiments to test scientific hypotheses;</w:t>
      </w:r>
    </w:p>
    <w:p>
      <w:pPr>
        <w:pStyle w:val="Compact"/>
        <w:numPr>
          <w:numId w:val="1002"/>
          <w:ilvl w:val="0"/>
        </w:numPr>
      </w:pPr>
      <w:r>
        <w:t xml:space="preserve">use the research tools and databases to find and extract relevant information from research papers;</w:t>
      </w:r>
    </w:p>
    <w:p>
      <w:pPr>
        <w:pStyle w:val="Compact"/>
        <w:numPr>
          <w:numId w:val="1002"/>
          <w:ilvl w:val="0"/>
        </w:numPr>
      </w:pPr>
      <w:r>
        <w:t xml:space="preserve">cite references appropriately and avoid plagiarism;</w:t>
      </w:r>
    </w:p>
    <w:p>
      <w:pPr>
        <w:pStyle w:val="Compact"/>
        <w:numPr>
          <w:numId w:val="1002"/>
          <w:ilvl w:val="0"/>
        </w:numPr>
      </w:pPr>
      <w:r>
        <w:t xml:space="preserve">communicate scientific information in both formal presentations and informal discussions; and</w:t>
      </w:r>
    </w:p>
    <w:p>
      <w:pPr>
        <w:pStyle w:val="Compact"/>
        <w:numPr>
          <w:numId w:val="1002"/>
          <w:ilvl w:val="0"/>
        </w:numPr>
      </w:pPr>
      <w:r>
        <w:t xml:space="preserve">write competently in the style of the appropriate scientific journals.</w:t>
      </w:r>
    </w:p>
    <w:p>
      <w:pPr>
        <w:pStyle w:val="Heading2"/>
      </w:pPr>
      <w:bookmarkStart w:id="27" w:name="topics"/>
      <w:r>
        <w:t xml:space="preserve">Topics</w:t>
      </w:r>
      <w:bookmarkEnd w:id="27"/>
    </w:p>
    <w:p>
      <w:pPr>
        <w:pStyle w:val="Compact"/>
        <w:numPr>
          <w:numId w:val="1003"/>
          <w:ilvl w:val="0"/>
        </w:numPr>
      </w:pPr>
      <w:r>
        <w:t xml:space="preserve">Tools for research: databases, journals, software, and services</w:t>
      </w:r>
    </w:p>
    <w:p>
      <w:pPr>
        <w:pStyle w:val="Compact"/>
        <w:numPr>
          <w:numId w:val="1003"/>
          <w:ilvl w:val="0"/>
        </w:numPr>
      </w:pPr>
      <w:r>
        <w:t xml:space="preserve">Components of scientific communication (manuscript and supporting information)</w:t>
      </w:r>
    </w:p>
    <w:p>
      <w:pPr>
        <w:pStyle w:val="Compact"/>
        <w:numPr>
          <w:numId w:val="1003"/>
          <w:ilvl w:val="0"/>
        </w:numPr>
      </w:pPr>
      <w:r>
        <w:t xml:space="preserve">Hypothesis and research proposal development, experimental design</w:t>
      </w:r>
    </w:p>
    <w:p>
      <w:pPr>
        <w:pStyle w:val="Compact"/>
        <w:numPr>
          <w:numId w:val="1003"/>
          <w:ilvl w:val="0"/>
        </w:numPr>
      </w:pPr>
      <w:r>
        <w:t xml:space="preserve">Publishing and peer-review</w:t>
      </w:r>
    </w:p>
    <w:p>
      <w:pPr>
        <w:pStyle w:val="Compact"/>
        <w:numPr>
          <w:numId w:val="1003"/>
          <w:ilvl w:val="0"/>
        </w:numPr>
      </w:pPr>
      <w:r>
        <w:t xml:space="preserve">Scientific misconduct and plagiarism</w:t>
      </w:r>
    </w:p>
    <w:p>
      <w:pPr>
        <w:pStyle w:val="Heading1"/>
      </w:pPr>
      <w:bookmarkStart w:id="28" w:name="types-of-graded-work"/>
      <w:r>
        <w:t xml:space="preserve">Types of graded work</w:t>
      </w:r>
      <w:bookmarkEnd w:id="28"/>
    </w:p>
    <w:p>
      <w:pPr>
        <w:pStyle w:val="Compact"/>
        <w:numPr>
          <w:numId w:val="1004"/>
          <w:ilvl w:val="0"/>
        </w:numPr>
      </w:pPr>
      <w:r>
        <w:t xml:space="preserve">Research proposal</w:t>
      </w:r>
    </w:p>
    <w:p>
      <w:pPr>
        <w:pStyle w:val="Compact"/>
        <w:numPr>
          <w:numId w:val="1004"/>
          <w:ilvl w:val="0"/>
        </w:numPr>
      </w:pPr>
      <w:r>
        <w:t xml:space="preserve">Presentation</w:t>
      </w:r>
    </w:p>
    <w:p>
      <w:pPr>
        <w:pStyle w:val="Compact"/>
        <w:numPr>
          <w:numId w:val="1004"/>
          <w:ilvl w:val="0"/>
        </w:numPr>
      </w:pPr>
      <w:r>
        <w:t xml:space="preserve">Research report</w:t>
      </w:r>
    </w:p>
    <w:p>
      <w:pPr>
        <w:pStyle w:val="Compact"/>
        <w:numPr>
          <w:numId w:val="1004"/>
          <w:ilvl w:val="0"/>
        </w:numPr>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2"/>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2"/>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20%</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20%</w:t>
            </w:r>
          </w:p>
        </w:tc>
      </w:tr>
    </w:tbl>
    <w:p>
      <w:pPr>
        <w:pStyle w:val="Heading1"/>
      </w:pPr>
      <w:bookmarkStart w:id="31" w:name="course-policies"/>
      <w:r>
        <w:t xml:space="preserve">Course policies</w:t>
      </w:r>
      <w:bookmarkEnd w:id="31"/>
    </w:p>
    <w:p>
      <w:pPr>
        <w:pStyle w:val="Heading2"/>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2"/>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40">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41">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42">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43">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4">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5">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6">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2020-01-24T15:55:49Z</dcterms:created>
  <dcterms:modified xsi:type="dcterms:W3CDTF">2020-01-24T15:55:49Z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