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numPr>
          <w:ilvl w:val="0"/>
          <w:numId w:val="1001"/>
        </w:numPr>
        <w:pStyle w:val="Compact"/>
      </w:pPr>
      <w:r>
        <w:rPr>
          <w:b/>
        </w:rPr>
        <w:t xml:space="preserve">Course name and number</w:t>
      </w:r>
      <w:r>
        <w:t xml:space="preserve">: Advanced Research Techniques (graduate, 3 Units); Research Techniques; CHEM 160H (undergraduate, 3 Units).</w:t>
      </w:r>
    </w:p>
    <w:p>
      <w:pPr>
        <w:numPr>
          <w:ilvl w:val="0"/>
          <w:numId w:val="1001"/>
        </w:numPr>
        <w:pStyle w:val="Compact"/>
      </w:pPr>
      <w:r>
        <w:rPr>
          <w:b/>
        </w:rPr>
        <w:t xml:space="preserve">Time and location</w:t>
      </w:r>
      <w:r>
        <w:t xml:space="preserve">: Friday, 08:00–08:50 AM in S1-242 (lecture)</w:t>
      </w:r>
    </w:p>
    <w:p>
      <w:pPr>
        <w:numPr>
          <w:ilvl w:val="0"/>
          <w:numId w:val="1001"/>
        </w:numPr>
        <w:pStyle w:val="Compact"/>
      </w:pPr>
      <w:r>
        <w:rPr>
          <w:b/>
        </w:rPr>
        <w:t xml:space="preserve">Contact</w:t>
      </w:r>
      <w:r>
        <w:t xml:space="preserve">: Science 1 room 352, phone (559) 278-2711,</w:t>
      </w:r>
      <w:r>
        <w:t xml:space="preserve"> </w:t>
      </w:r>
      <w:hyperlink r:id="rId21">
        <w:r>
          <w:rPr>
            <w:rStyle w:val="Hyperlink"/>
          </w:rPr>
          <w:t xml:space="preserve">hmuchalski@mail.fresnostate.edu</w:t>
        </w:r>
      </w:hyperlink>
    </w:p>
    <w:p>
      <w:pPr>
        <w:numPr>
          <w:ilvl w:val="0"/>
          <w:numId w:val="1001"/>
        </w:numPr>
        <w:pStyle w:val="Compact"/>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numPr>
          <w:ilvl w:val="0"/>
          <w:numId w:val="1001"/>
        </w:numPr>
        <w:pStyle w:val="Compact"/>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numPr>
          <w:ilvl w:val="0"/>
          <w:numId w:val="1001"/>
        </w:numPr>
        <w:pStyle w:val="Compact"/>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numPr>
          <w:ilvl w:val="0"/>
          <w:numId w:val="1001"/>
        </w:numPr>
        <w:pStyle w:val="Compact"/>
      </w:pPr>
      <w:r>
        <w:rPr>
          <w:b/>
        </w:rPr>
        <w:t xml:space="preserve">Office Hours:</w:t>
      </w:r>
      <w:r>
        <w:t xml:space="preserve"> </w:t>
      </w:r>
      <w:r>
        <w:t xml:space="preserve">I will be available for consultations after each class meeting (Friday 09:00–10:00 AM), Wednesday 03:00–03:50 PM and by appointment.</w:t>
      </w:r>
    </w:p>
    <w:p>
      <w:pPr>
        <w:pStyle w:val="Heading1"/>
      </w:pPr>
      <w:bookmarkStart w:id="24" w:name="introduction"/>
      <w:r>
        <w:t xml:space="preserve">Introduction</w:t>
      </w:r>
      <w:bookmarkEnd w:id="24"/>
    </w:p>
    <w:p>
      <w:pPr>
        <w:pStyle w:val="Heading2"/>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2"/>
      </w:pPr>
      <w:bookmarkStart w:id="26" w:name="slo"/>
      <w:r>
        <w:t xml:space="preserve">Student Learning Outcomes</w:t>
      </w:r>
      <w:bookmarkEnd w:id="26"/>
    </w:p>
    <w:p>
      <w:pPr>
        <w:pStyle w:val="FirstParagraph"/>
      </w:pPr>
      <w:r>
        <w:t xml:space="preserve">Students who successfully complete this course should be able to:</w:t>
      </w:r>
    </w:p>
    <w:p>
      <w:pPr>
        <w:numPr>
          <w:ilvl w:val="0"/>
          <w:numId w:val="1002"/>
        </w:numPr>
        <w:pStyle w:val="Compact"/>
      </w:pPr>
      <w:r>
        <w:t xml:space="preserve">gain proficiency in the advanced experimental techniques in their area required to carry out graduate-level research;</w:t>
      </w:r>
    </w:p>
    <w:p>
      <w:pPr>
        <w:numPr>
          <w:ilvl w:val="0"/>
          <w:numId w:val="1002"/>
        </w:numPr>
        <w:pStyle w:val="Compact"/>
      </w:pPr>
      <w:r>
        <w:t xml:space="preserve">design, plan, and execute experiments to test scientific hypotheses;</w:t>
      </w:r>
    </w:p>
    <w:p>
      <w:pPr>
        <w:numPr>
          <w:ilvl w:val="0"/>
          <w:numId w:val="1002"/>
        </w:numPr>
        <w:pStyle w:val="Compact"/>
      </w:pPr>
      <w:r>
        <w:t xml:space="preserve">use the research tools and databases to find and extract relevant information from research papers;</w:t>
      </w:r>
    </w:p>
    <w:p>
      <w:pPr>
        <w:numPr>
          <w:ilvl w:val="0"/>
          <w:numId w:val="1002"/>
        </w:numPr>
        <w:pStyle w:val="Compact"/>
      </w:pPr>
      <w:r>
        <w:t xml:space="preserve">cite references appropriately and avoid plagiarism;</w:t>
      </w:r>
    </w:p>
    <w:p>
      <w:pPr>
        <w:numPr>
          <w:ilvl w:val="0"/>
          <w:numId w:val="1002"/>
        </w:numPr>
        <w:pStyle w:val="Compact"/>
      </w:pPr>
      <w:r>
        <w:t xml:space="preserve">communicate scientific information in both formal presentations and informal discussions; and</w:t>
      </w:r>
    </w:p>
    <w:p>
      <w:pPr>
        <w:numPr>
          <w:ilvl w:val="0"/>
          <w:numId w:val="1002"/>
        </w:numPr>
        <w:pStyle w:val="Compact"/>
      </w:pPr>
      <w:r>
        <w:t xml:space="preserve">write competently in the style of the appropriate scientific journals.</w:t>
      </w:r>
    </w:p>
    <w:p>
      <w:pPr>
        <w:pStyle w:val="Heading2"/>
      </w:pPr>
      <w:bookmarkStart w:id="27" w:name="topics"/>
      <w:r>
        <w:t xml:space="preserve">Topics</w:t>
      </w:r>
      <w:bookmarkEnd w:id="27"/>
    </w:p>
    <w:p>
      <w:pPr>
        <w:numPr>
          <w:ilvl w:val="0"/>
          <w:numId w:val="1003"/>
        </w:numPr>
        <w:pStyle w:val="Compact"/>
      </w:pPr>
      <w:r>
        <w:t xml:space="preserve">Tools for research: databases, journals, software, and services</w:t>
      </w:r>
    </w:p>
    <w:p>
      <w:pPr>
        <w:numPr>
          <w:ilvl w:val="0"/>
          <w:numId w:val="1003"/>
        </w:numPr>
        <w:pStyle w:val="Compact"/>
      </w:pPr>
      <w:r>
        <w:t xml:space="preserve">Components of scientific communication (manuscript and supporting information)</w:t>
      </w:r>
    </w:p>
    <w:p>
      <w:pPr>
        <w:numPr>
          <w:ilvl w:val="0"/>
          <w:numId w:val="1003"/>
        </w:numPr>
        <w:pStyle w:val="Compact"/>
      </w:pPr>
      <w:r>
        <w:t xml:space="preserve">Hypothesis and research proposal development, experimental design</w:t>
      </w:r>
    </w:p>
    <w:p>
      <w:pPr>
        <w:numPr>
          <w:ilvl w:val="0"/>
          <w:numId w:val="1003"/>
        </w:numPr>
        <w:pStyle w:val="Compact"/>
      </w:pPr>
      <w:r>
        <w:t xml:space="preserve">Publishing and peer-review</w:t>
      </w:r>
    </w:p>
    <w:p>
      <w:pPr>
        <w:numPr>
          <w:ilvl w:val="0"/>
          <w:numId w:val="1003"/>
        </w:numPr>
        <w:pStyle w:val="Compact"/>
      </w:pPr>
      <w:r>
        <w:t xml:space="preserve">Scientific misconduct and plagiarism</w:t>
      </w:r>
    </w:p>
    <w:p>
      <w:pPr>
        <w:pStyle w:val="Heading1"/>
      </w:pPr>
      <w:bookmarkStart w:id="28" w:name="types-of-graded-work"/>
      <w:r>
        <w:t xml:space="preserve">Types of graded work</w:t>
      </w:r>
      <w:bookmarkEnd w:id="28"/>
    </w:p>
    <w:p>
      <w:pPr>
        <w:numPr>
          <w:ilvl w:val="0"/>
          <w:numId w:val="1004"/>
        </w:numPr>
        <w:pStyle w:val="Compact"/>
      </w:pPr>
      <w:r>
        <w:t xml:space="preserve">Research proposal</w:t>
      </w:r>
    </w:p>
    <w:p>
      <w:pPr>
        <w:numPr>
          <w:ilvl w:val="0"/>
          <w:numId w:val="1004"/>
        </w:numPr>
        <w:pStyle w:val="Compact"/>
      </w:pPr>
      <w:r>
        <w:t xml:space="preserve">Presentation</w:t>
      </w:r>
    </w:p>
    <w:p>
      <w:pPr>
        <w:numPr>
          <w:ilvl w:val="0"/>
          <w:numId w:val="1004"/>
        </w:numPr>
        <w:pStyle w:val="Compact"/>
      </w:pPr>
      <w:r>
        <w:t xml:space="preserve">Research report</w:t>
      </w:r>
    </w:p>
    <w:p>
      <w:pPr>
        <w:numPr>
          <w:ilvl w:val="0"/>
          <w:numId w:val="1004"/>
        </w:numPr>
        <w:pStyle w:val="Compact"/>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2"/>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2"/>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20%</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20%</w:t>
            </w:r>
          </w:p>
        </w:tc>
      </w:tr>
    </w:tbl>
    <w:p>
      <w:pPr>
        <w:pStyle w:val="Heading1"/>
      </w:pPr>
      <w:bookmarkStart w:id="31" w:name="course-policies"/>
      <w:r>
        <w:t xml:space="preserve">Course policies</w:t>
      </w:r>
      <w:bookmarkEnd w:id="31"/>
    </w:p>
    <w:p>
      <w:pPr>
        <w:pStyle w:val="Heading2"/>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numPr>
          <w:ilvl w:val="0"/>
          <w:numId w:val="1005"/>
        </w:numPr>
        <w:pStyle w:val="Compact"/>
      </w:pPr>
      <w:r>
        <w:t xml:space="preserve">copying work from another student;</w:t>
      </w:r>
    </w:p>
    <w:p>
      <w:pPr>
        <w:numPr>
          <w:ilvl w:val="0"/>
          <w:numId w:val="1005"/>
        </w:numPr>
        <w:pStyle w:val="Compact"/>
      </w:pPr>
      <w:r>
        <w:t xml:space="preserve">copying work from a website;</w:t>
      </w:r>
    </w:p>
    <w:p>
      <w:pPr>
        <w:numPr>
          <w:ilvl w:val="0"/>
          <w:numId w:val="1005"/>
        </w:numPr>
        <w:pStyle w:val="Compact"/>
      </w:pPr>
      <w:r>
        <w:t xml:space="preserve">paraphrasing work done by another student or from print or internet resources—i.e. putting it in your own words—without coming up with the main ideas and strategies yourself; and</w:t>
      </w:r>
    </w:p>
    <w:p>
      <w:pPr>
        <w:numPr>
          <w:ilvl w:val="0"/>
          <w:numId w:val="1005"/>
        </w:numPr>
        <w:pStyle w:val="Compact"/>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2"/>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numPr>
          <w:ilvl w:val="0"/>
          <w:numId w:val="1006"/>
        </w:numPr>
        <w:pStyle w:val="Compact"/>
      </w:pPr>
      <w:r>
        <w:t xml:space="preserve">Class Schedule Policies:</w:t>
      </w:r>
      <w:r>
        <w:t xml:space="preserve"> </w:t>
      </w:r>
      <w:hyperlink r:id="rId40">
        <w:r>
          <w:rPr>
            <w:rStyle w:val="Hyperlink"/>
          </w:rPr>
          <w:t xml:space="preserve">http://fresnostate.edu/studentaffairs/classschedule/policy/</w:t>
        </w:r>
      </w:hyperlink>
    </w:p>
    <w:p>
      <w:pPr>
        <w:numPr>
          <w:ilvl w:val="0"/>
          <w:numId w:val="1006"/>
        </w:numPr>
        <w:pStyle w:val="Compact"/>
      </w:pPr>
      <w:r>
        <w:t xml:space="preserve">Copyright Policy:</w:t>
      </w:r>
      <w:r>
        <w:t xml:space="preserve"> </w:t>
      </w:r>
      <w:hyperlink r:id="rId41">
        <w:r>
          <w:rPr>
            <w:rStyle w:val="Hyperlink"/>
          </w:rPr>
          <w:t xml:space="preserve">http://libguides.csufresno.edu/copyright</w:t>
        </w:r>
      </w:hyperlink>
    </w:p>
    <w:p>
      <w:pPr>
        <w:numPr>
          <w:ilvl w:val="0"/>
          <w:numId w:val="1006"/>
        </w:numPr>
        <w:pStyle w:val="Compact"/>
      </w:pPr>
      <w:r>
        <w:t xml:space="preserve">Students with Disabilities:</w:t>
      </w:r>
      <w:r>
        <w:t xml:space="preserve"> </w:t>
      </w:r>
      <w:hyperlink r:id="rId42">
        <w:r>
          <w:rPr>
            <w:rStyle w:val="Hyperlink"/>
          </w:rPr>
          <w:t xml:space="preserve">http://fresnostate.edu/studentaffairs/careers/students/interests/disabilities.html</w:t>
        </w:r>
      </w:hyperlink>
    </w:p>
    <w:p>
      <w:pPr>
        <w:numPr>
          <w:ilvl w:val="0"/>
          <w:numId w:val="1006"/>
        </w:numPr>
        <w:pStyle w:val="Compact"/>
      </w:pPr>
      <w:r>
        <w:t xml:space="preserve">Academic Integrity and Honor Code:</w:t>
      </w:r>
      <w:r>
        <w:t xml:space="preserve"> </w:t>
      </w:r>
      <w:hyperlink r:id="rId43">
        <w:r>
          <w:rPr>
            <w:rStyle w:val="Hyperlink"/>
          </w:rPr>
          <w:t xml:space="preserve">http://www.fresnostate.edu/academics/facultyaffairs/documents/apm/236.pdf</w:t>
        </w:r>
      </w:hyperlink>
    </w:p>
    <w:p>
      <w:pPr>
        <w:numPr>
          <w:ilvl w:val="0"/>
          <w:numId w:val="1006"/>
        </w:numPr>
        <w:pStyle w:val="Compact"/>
      </w:pPr>
      <w:r>
        <w:t xml:space="preserve">Policy on Cheating and Plagiarism:</w:t>
      </w:r>
      <w:r>
        <w:t xml:space="preserve"> </w:t>
      </w:r>
      <w:hyperlink r:id="rId44">
        <w:r>
          <w:rPr>
            <w:rStyle w:val="Hyperlink"/>
          </w:rPr>
          <w:t xml:space="preserve">http://fresnostate.edu/studentaffairs/studentconduct/policies/cheating-plagiarism.html</w:t>
        </w:r>
      </w:hyperlink>
    </w:p>
    <w:p>
      <w:pPr>
        <w:numPr>
          <w:ilvl w:val="0"/>
          <w:numId w:val="1006"/>
        </w:numPr>
        <w:pStyle w:val="Compact"/>
      </w:pPr>
      <w:r>
        <w:t xml:space="preserve">Add/Drop Course:</w:t>
      </w:r>
      <w:r>
        <w:t xml:space="preserve"> </w:t>
      </w:r>
      <w:hyperlink r:id="rId45">
        <w:r>
          <w:rPr>
            <w:rStyle w:val="Hyperlink"/>
          </w:rPr>
          <w:t xml:space="preserve">http://www.fresnostate.edu/studentaffairs/registrar/registration/</w:t>
        </w:r>
      </w:hyperlink>
    </w:p>
    <w:p>
      <w:pPr>
        <w:numPr>
          <w:ilvl w:val="0"/>
          <w:numId w:val="1006"/>
        </w:numPr>
        <w:pStyle w:val="Compact"/>
      </w:pPr>
      <w:r>
        <w:t xml:space="preserve">Computer requirements:</w:t>
      </w:r>
      <w:r>
        <w:t xml:space="preserve"> </w:t>
      </w:r>
      <w:hyperlink r:id="rId46">
        <w:r>
          <w:rPr>
            <w:rStyle w:val="Hyperlink"/>
          </w:rPr>
          <w:t xml:space="preserve">https://www.fresnostate.edu/catalog/academic-regulations/index.html#computerreq</w:t>
        </w:r>
      </w:hyperlink>
    </w:p>
    <w:p>
      <w:pPr>
        <w:numPr>
          <w:ilvl w:val="0"/>
          <w:numId w:val="1006"/>
        </w:numPr>
        <w:pStyle w:val="Compact"/>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2020-03-03T23:21:28Z</dcterms:created>
  <dcterms:modified xsi:type="dcterms:W3CDTF">2020-03-03T23:21:28Z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