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CHEM</w:t>
      </w:r>
      <w:r>
        <w:t xml:space="preserve"> </w:t>
      </w:r>
      <w:r>
        <w:t xml:space="preserve">240T,</w:t>
      </w:r>
      <w:r>
        <w:t xml:space="preserve"> </w:t>
      </w:r>
      <w:r>
        <w:t xml:space="preserve">Fall</w:t>
      </w:r>
      <w:r>
        <w:t xml:space="preserve"> </w:t>
      </w:r>
      <w:r>
        <w:t xml:space="preserve">2019</w:t>
      </w:r>
    </w:p>
    <w:p>
      <w:pPr>
        <w:pStyle w:val="Heading1"/>
      </w:pPr>
      <w:bookmarkStart w:id="20" w:name="general-information"/>
      <w:r>
        <w:t xml:space="preserve">General information</w:t>
      </w:r>
      <w:bookmarkEnd w:id="20"/>
    </w:p>
    <w:p>
      <w:pPr>
        <w:pStyle w:val="Compact"/>
        <w:numPr>
          <w:numId w:val="1001"/>
          <w:ilvl w:val="0"/>
        </w:numPr>
      </w:pPr>
      <w:r>
        <w:rPr>
          <w:b/>
        </w:rPr>
        <w:t xml:space="preserve">Course name and number</w:t>
      </w:r>
      <w:r>
        <w:t xml:space="preserve">: Strategies and Tactics in Organic Synthesis; CHEM 240T (graduate, 2 Units)</w:t>
      </w:r>
    </w:p>
    <w:p>
      <w:pPr>
        <w:pStyle w:val="Compact"/>
        <w:numPr>
          <w:numId w:val="1001"/>
          <w:ilvl w:val="0"/>
        </w:numPr>
      </w:pPr>
      <w:r>
        <w:rPr>
          <w:b/>
        </w:rPr>
        <w:t xml:space="preserve">Instructor</w:t>
      </w:r>
      <w:r>
        <w:t xml:space="preserve">: Hubert Muchalski, Ph.D., Assistant Professor of Chemistry</w:t>
      </w:r>
    </w:p>
    <w:p>
      <w:pPr>
        <w:pStyle w:val="Compact"/>
        <w:numPr>
          <w:numId w:val="1001"/>
          <w:ilvl w:val="0"/>
        </w:numPr>
      </w:pPr>
      <w:r>
        <w:rPr>
          <w:b/>
        </w:rPr>
        <w:t xml:space="preserve">Contact</w:t>
      </w:r>
      <w:r>
        <w:t xml:space="preserve">: Science 1 room 352, phone (559) 278-2711,</w:t>
      </w:r>
      <w:r>
        <w:t xml:space="preserve"> </w:t>
      </w:r>
      <w:hyperlink r:id="rId21">
        <w:r>
          <w:rPr>
            <w:rStyle w:val="Hyperlink"/>
          </w:rPr>
          <w:t xml:space="preserve">hmuchalski@mail.fresnostate.edu</w:t>
        </w:r>
      </w:hyperlink>
    </w:p>
    <w:p>
      <w:pPr>
        <w:pStyle w:val="Compact"/>
        <w:numPr>
          <w:numId w:val="1001"/>
          <w:ilvl w:val="0"/>
        </w:numPr>
      </w:pPr>
      <w:r>
        <w:rPr>
          <w:b/>
        </w:rPr>
        <w:t xml:space="preserve">Canvas:</w:t>
      </w:r>
      <w:r>
        <w:t xml:space="preserve"> </w:t>
      </w:r>
      <w:r>
        <w:t xml:space="preserve">The central repository for all course materials and information is our Canvas site, accessible through</w:t>
      </w:r>
      <w:r>
        <w:t xml:space="preserve"> </w:t>
      </w:r>
      <w:hyperlink r:id="rId22">
        <w:r>
          <w:rPr>
            <w:rStyle w:val="Hyperlink"/>
          </w:rPr>
          <w:t xml:space="preserve">https://fresnostate.instructure.com/courses/4365</w:t>
        </w:r>
      </w:hyperlink>
      <w:r>
        <w:t xml:space="preserve">. The Canvas site will house your grades, links to handouts, videos, and other materials.</w:t>
      </w:r>
    </w:p>
    <w:p>
      <w:pPr>
        <w:pStyle w:val="Compact"/>
        <w:numPr>
          <w:numId w:val="1001"/>
          <w:ilvl w:val="0"/>
        </w:numPr>
      </w:pPr>
      <w:r>
        <w:rPr>
          <w:b/>
        </w:rPr>
        <w:t xml:space="preserve">Textbook:</w:t>
      </w:r>
      <w:r>
        <w:t xml:space="preserve"> </w:t>
      </w:r>
      <w:r>
        <w:t xml:space="preserve">There is no specific textbook for this class but I recommend you get a copy of organic chemistry textbook to use as general reference. It doesn’t have to be recent. Older edition of any major textbook will work just as well.</w:t>
      </w:r>
    </w:p>
    <w:p>
      <w:pPr>
        <w:pStyle w:val="Compact"/>
        <w:numPr>
          <w:numId w:val="1001"/>
          <w:ilvl w:val="0"/>
        </w:numPr>
      </w:pPr>
      <w:r>
        <w:rPr>
          <w:b/>
        </w:rPr>
        <w:t xml:space="preserve">Tech:</w:t>
      </w:r>
      <w:r>
        <w:t xml:space="preserve"> </w:t>
      </w:r>
      <w:r>
        <w:t xml:space="preserve">Scifinder scholar account to access and search the database. EndNote, and ChemDraw, both available for free for Fresno State students. Refer to instructions on how to obtain the software (Canvas).</w:t>
      </w:r>
    </w:p>
    <w:p>
      <w:pPr>
        <w:pStyle w:val="Heading1"/>
      </w:pPr>
      <w:bookmarkStart w:id="23" w:name="introduction"/>
      <w:r>
        <w:t xml:space="preserve">Introduction</w:t>
      </w:r>
      <w:bookmarkEnd w:id="23"/>
    </w:p>
    <w:p>
      <w:pPr>
        <w:pStyle w:val="FirstParagraph"/>
      </w:pPr>
      <w:r>
        <w:t xml:space="preserve">When you took the sophomore course in organic chemistry, you studied the typical reactions of halooalkanes, alkenes/alkynes, aromatic compounds and organic carbonyl compounds, etc. That was to introduce you to compound classes and to give you an understanding of how and why such reactions occur. However, the course did not focus how to design a synthetic route to prepare a given organic compound from readily available starting materials. This is a crucial aspect of organic chemistry. The design and synthesis of novel organic compounds is fundamental to the development of new medicines, agrochemicals, plastics, dyestuffs, etc. This course will introduce you to the ideas involved in synthetic design, particularly</w:t>
      </w:r>
      <w:r>
        <w:t xml:space="preserve"> </w:t>
      </w:r>
      <w:r>
        <w:t xml:space="preserve">‘</w:t>
      </w:r>
      <w:r>
        <w:t xml:space="preserve">retrosynthetic analysis</w:t>
      </w:r>
      <w:r>
        <w:t xml:space="preserve">’</w:t>
      </w:r>
      <w:r>
        <w:t xml:space="preserve"> </w:t>
      </w:r>
      <w:r>
        <w:t xml:space="preserve">(RSA).</w:t>
      </w:r>
    </w:p>
    <w:p>
      <w:pPr>
        <w:pStyle w:val="Heading2"/>
      </w:pPr>
      <w:bookmarkStart w:id="24" w:name="slo"/>
      <w:r>
        <w:t xml:space="preserve">Student Learning Outcomes</w:t>
      </w:r>
      <w:bookmarkEnd w:id="24"/>
    </w:p>
    <w:p>
      <w:pPr>
        <w:pStyle w:val="FirstParagraph"/>
      </w:pPr>
      <w:r>
        <w:t xml:space="preserve">Students who successfully complete this course should be able to:</w:t>
      </w:r>
    </w:p>
    <w:p>
      <w:pPr>
        <w:pStyle w:val="Compact"/>
        <w:numPr>
          <w:numId w:val="1002"/>
          <w:ilvl w:val="0"/>
        </w:numPr>
      </w:pPr>
      <w:r>
        <w:t xml:space="preserve">be familiar with the terminology of retrosynthetic analysis (RSA);</w:t>
      </w:r>
    </w:p>
    <w:p>
      <w:pPr>
        <w:pStyle w:val="Compact"/>
        <w:numPr>
          <w:numId w:val="1002"/>
          <w:ilvl w:val="0"/>
        </w:numPr>
      </w:pPr>
      <w:r>
        <w:t xml:space="preserve">distinguish factors such as chemoselectivity, regioselectivity, stereoselectivity and protecting group methodology and their importance in synthetic design;</w:t>
      </w:r>
    </w:p>
    <w:p>
      <w:pPr>
        <w:pStyle w:val="Compact"/>
        <w:numPr>
          <w:numId w:val="1002"/>
          <w:ilvl w:val="0"/>
        </w:numPr>
      </w:pPr>
      <w:r>
        <w:t xml:space="preserve">identify synthons and their synthetic equivalents and functional group interconversions;</w:t>
      </w:r>
    </w:p>
    <w:p>
      <w:pPr>
        <w:pStyle w:val="Compact"/>
        <w:numPr>
          <w:numId w:val="1002"/>
          <w:ilvl w:val="0"/>
        </w:numPr>
      </w:pPr>
      <w:r>
        <w:t xml:space="preserve">use RSA to design and evaluate syntheses of target molecules of medium complexity</w:t>
      </w:r>
    </w:p>
    <w:p>
      <w:pPr>
        <w:pStyle w:val="Compact"/>
        <w:numPr>
          <w:numId w:val="1002"/>
          <w:ilvl w:val="0"/>
        </w:numPr>
      </w:pPr>
      <w:r>
        <w:t xml:space="preserve">evaluate a synthetic plan and identify flaws in synthetic design</w:t>
      </w:r>
    </w:p>
    <w:p>
      <w:pPr>
        <w:pStyle w:val="Compact"/>
        <w:numPr>
          <w:numId w:val="1002"/>
          <w:ilvl w:val="0"/>
        </w:numPr>
      </w:pPr>
      <w:r>
        <w:t xml:space="preserve">propose a plausible reaction mechanism for a given reactions</w:t>
      </w:r>
    </w:p>
    <w:p>
      <w:pPr>
        <w:pStyle w:val="Heading2"/>
      </w:pPr>
      <w:bookmarkStart w:id="25" w:name="topics"/>
      <w:r>
        <w:t xml:space="preserve">Topics</w:t>
      </w:r>
      <w:bookmarkEnd w:id="25"/>
    </w:p>
    <w:p>
      <w:pPr>
        <w:pStyle w:val="Compact"/>
        <w:numPr>
          <w:numId w:val="1003"/>
          <w:ilvl w:val="0"/>
        </w:numPr>
      </w:pPr>
      <w:r>
        <w:t xml:space="preserve">Retrosynthetic Analysis (RSA)</w:t>
      </w:r>
    </w:p>
    <w:p>
      <w:pPr>
        <w:pStyle w:val="Compact"/>
        <w:numPr>
          <w:numId w:val="1003"/>
          <w:ilvl w:val="0"/>
        </w:numPr>
      </w:pPr>
      <w:r>
        <w:t xml:space="preserve">Disconnection via Functional Group Interconversion</w:t>
      </w:r>
    </w:p>
    <w:p>
      <w:pPr>
        <w:pStyle w:val="Compact"/>
        <w:numPr>
          <w:numId w:val="1003"/>
          <w:ilvl w:val="0"/>
        </w:numPr>
      </w:pPr>
      <w:r>
        <w:t xml:space="preserve">Protecting Groups</w:t>
      </w:r>
    </w:p>
    <w:p>
      <w:pPr>
        <w:pStyle w:val="Compact"/>
        <w:numPr>
          <w:numId w:val="1003"/>
          <w:ilvl w:val="0"/>
        </w:numPr>
      </w:pPr>
      <w:r>
        <w:t xml:space="preserve">Carbon–Carbon Bond Disconnections</w:t>
      </w:r>
    </w:p>
    <w:p>
      <w:pPr>
        <w:pStyle w:val="Compact"/>
        <w:numPr>
          <w:numId w:val="1003"/>
          <w:ilvl w:val="0"/>
        </w:numPr>
      </w:pPr>
      <w:r>
        <w:t xml:space="preserve">Synthesis of Compounds Containing Rings</w:t>
      </w:r>
    </w:p>
    <w:p>
      <w:pPr>
        <w:pStyle w:val="Compact"/>
        <w:numPr>
          <w:numId w:val="1003"/>
          <w:ilvl w:val="0"/>
        </w:numPr>
      </w:pPr>
      <w:r>
        <w:t xml:space="preserve">Stereochemistry: Prediction and Control</w:t>
      </w:r>
    </w:p>
    <w:p>
      <w:pPr>
        <w:pStyle w:val="Compact"/>
        <w:numPr>
          <w:numId w:val="1003"/>
          <w:ilvl w:val="0"/>
        </w:numPr>
      </w:pPr>
      <w:r>
        <w:t xml:space="preserve">Cross-Coupling Reactions</w:t>
      </w:r>
    </w:p>
    <w:p>
      <w:pPr>
        <w:pStyle w:val="Compact"/>
        <w:numPr>
          <w:numId w:val="1003"/>
          <w:ilvl w:val="0"/>
        </w:numPr>
      </w:pPr>
      <w:r>
        <w:t xml:space="preserve">Two-Direactional Synthesis</w:t>
      </w:r>
    </w:p>
    <w:p>
      <w:pPr>
        <w:pStyle w:val="Compact"/>
        <w:numPr>
          <w:numId w:val="1003"/>
          <w:ilvl w:val="0"/>
        </w:numPr>
      </w:pPr>
      <w:r>
        <w:t xml:space="preserve">Catalysis</w:t>
      </w:r>
    </w:p>
    <w:p>
      <w:pPr>
        <w:pStyle w:val="Heading1"/>
      </w:pPr>
      <w:bookmarkStart w:id="26" w:name="what-to-expect"/>
      <w:r>
        <w:t xml:space="preserve">What to expect</w:t>
      </w:r>
      <w:bookmarkEnd w:id="26"/>
    </w:p>
    <w:p>
      <w:pPr>
        <w:pStyle w:val="FirstParagraph"/>
      </w:pPr>
      <w:r>
        <w:t xml:space="preserve">The learning mode that will dominate our class meetings is deep analysis of published syntheses of case studies. The goal of this course is not to cover all strategies and tactics used in organic synthesis but to provide opportunities for development of a skill which you need to master as a graduate student: to quickly learn complex and unfamiliar science topics to the degree that you can teach them to others.</w:t>
      </w:r>
    </w:p>
    <w:p>
      <w:pPr>
        <w:pStyle w:val="BodyText"/>
      </w:pPr>
      <w:r>
        <w:t xml:space="preserve">Active participation in class discussions is key to getting the most out of this class. Expect to be called to the board on a weekly basis to discuss synthetic and mechanistic problems. Don’t be concerned if you feel weak in some areas. By working through a problem you will strengthen your understanding and refine thinking process. This means that it is of utter importance that you come to class prepared.</w:t>
      </w:r>
    </w:p>
    <w:p>
      <w:pPr>
        <w:pStyle w:val="BodyText"/>
      </w:pPr>
      <w:r>
        <w:t xml:space="preserve">Reading, researching, and working through problems should be your primary out-of-class activities.</w:t>
      </w:r>
    </w:p>
    <w:p>
      <w:pPr>
        <w:pStyle w:val="Heading1"/>
      </w:pPr>
      <w:bookmarkStart w:id="27" w:name="types-of-graded-work"/>
      <w:r>
        <w:t xml:space="preserve">Types of graded work</w:t>
      </w:r>
      <w:bookmarkEnd w:id="27"/>
    </w:p>
    <w:p>
      <w:pPr>
        <w:pStyle w:val="FirstParagraph"/>
      </w:pPr>
      <w:r>
        <w:t xml:space="preserve">There are three types of graded work you will encounter in this course:</w:t>
      </w:r>
    </w:p>
    <w:p>
      <w:pPr>
        <w:pStyle w:val="Compact"/>
        <w:numPr>
          <w:numId w:val="1004"/>
          <w:ilvl w:val="0"/>
        </w:numPr>
      </w:pPr>
      <w:r>
        <w:t xml:space="preserve">Problem sets</w:t>
      </w:r>
    </w:p>
    <w:p>
      <w:pPr>
        <w:pStyle w:val="Compact"/>
        <w:numPr>
          <w:numId w:val="1004"/>
          <w:ilvl w:val="0"/>
        </w:numPr>
      </w:pPr>
      <w:r>
        <w:t xml:space="preserve">Midterm take-home exam</w:t>
      </w:r>
    </w:p>
    <w:p>
      <w:pPr>
        <w:pStyle w:val="Compact"/>
        <w:numPr>
          <w:numId w:val="1004"/>
          <w:ilvl w:val="0"/>
        </w:numPr>
      </w:pPr>
      <w:r>
        <w:t xml:space="preserve">Synthesis proposal</w:t>
      </w:r>
    </w:p>
    <w:p>
      <w:pPr>
        <w:pStyle w:val="Compact"/>
        <w:numPr>
          <w:numId w:val="1004"/>
          <w:ilvl w:val="0"/>
        </w:numPr>
      </w:pPr>
      <w:r>
        <w:t xml:space="preserve">Proposal presentation</w:t>
      </w:r>
    </w:p>
    <w:p>
      <w:pPr>
        <w:pStyle w:val="FirstParagraph"/>
      </w:pPr>
      <w:r>
        <w:t xml:space="preserve">Problem sets are written homework assignments containing synthetic problems and mechanisms. We will review some of those problems and students will be asked to go to the board and solve the problem in front of the group. Thus, just having the answer may not be sufficient to receive full credit on the assignment if you are not able to develop the solution again.</w:t>
      </w:r>
    </w:p>
    <w:p>
      <w:pPr>
        <w:pStyle w:val="BodyText"/>
      </w:pPr>
      <w:r>
        <w:t xml:space="preserve">The take-home exam will be just like problem sets but bigger (more problems) and more comprehensive.</w:t>
      </w:r>
    </w:p>
    <w:p>
      <w:pPr>
        <w:pStyle w:val="BodyText"/>
      </w:pPr>
      <w:r>
        <w:t xml:space="preserve">Each student will also propose total synthesis of natural product and present it to the class.</w:t>
      </w:r>
    </w:p>
    <w:p>
      <w:pPr>
        <w:pStyle w:val="Heading1"/>
      </w:pPr>
      <w:bookmarkStart w:id="28" w:name="final-letter-grade-scheme"/>
      <w:r>
        <w:t xml:space="preserve">Final letter grade scheme</w:t>
      </w:r>
      <w:bookmarkEnd w:id="28"/>
    </w:p>
    <w:p>
      <w:pPr>
        <w:pStyle w:val="FirstParagraph"/>
      </w:pPr>
      <w:r>
        <w:t xml:space="preserve">Grade brackets are imposed by course coordinator. In the past, the grading scale followed a pattern close to the following: A = 90–100, B 80–89, C 70–79; D 60–69; and F &lt;60.</w:t>
      </w:r>
    </w:p>
    <w:tbl>
      <w:tblPr>
        <w:tblStyle w:val="Table"/>
        <w:tblW w:type="pct" w:w="0.0"/>
        <w:tblLook w:firstRow="1"/>
      </w:tblPr>
      <w:tblGrid/>
      <w:tr>
        <w:trPr>
          <w:cnfStyle w:firstRow="1"/>
        </w:trPr>
        <w:tc>
          <w:tcPr>
            <w:tcBorders>
              <w:bottom w:val="single"/>
            </w:tcBorders>
            <w:vAlign w:val="bottom"/>
          </w:tcPr>
          <w:p>
            <w:pPr>
              <w:pStyle w:val="Compact"/>
              <w:jc w:val="left"/>
            </w:pPr>
            <w:r>
              <w:t xml:space="preserve">Grade component</w:t>
            </w:r>
          </w:p>
        </w:tc>
        <w:tc>
          <w:tcPr>
            <w:tcBorders>
              <w:bottom w:val="single"/>
            </w:tcBorders>
            <w:vAlign w:val="bottom"/>
          </w:tcPr>
          <w:p>
            <w:pPr>
              <w:pStyle w:val="Compact"/>
              <w:jc w:val="left"/>
            </w:pPr>
            <w:r>
              <w:t xml:space="preserve">Subtotal</w:t>
            </w:r>
          </w:p>
        </w:tc>
      </w:tr>
      <w:tr>
        <w:tc>
          <w:p>
            <w:pPr>
              <w:pStyle w:val="Compact"/>
              <w:jc w:val="left"/>
            </w:pPr>
            <w:r>
              <w:t xml:space="preserve">Problem Sets</w:t>
            </w:r>
          </w:p>
        </w:tc>
        <w:tc>
          <w:p>
            <w:pPr>
              <w:pStyle w:val="Compact"/>
              <w:jc w:val="left"/>
            </w:pPr>
            <w:r>
              <w:t xml:space="preserve">50%</w:t>
            </w:r>
          </w:p>
        </w:tc>
      </w:tr>
      <w:tr>
        <w:tc>
          <w:p>
            <w:pPr>
              <w:pStyle w:val="Compact"/>
              <w:jc w:val="left"/>
            </w:pPr>
            <w:r>
              <w:t xml:space="preserve">Midterm take-home exam</w:t>
            </w:r>
          </w:p>
        </w:tc>
        <w:tc>
          <w:p>
            <w:pPr>
              <w:pStyle w:val="Compact"/>
              <w:jc w:val="left"/>
            </w:pPr>
            <w:r>
              <w:t xml:space="preserve">20%</w:t>
            </w:r>
          </w:p>
        </w:tc>
      </w:tr>
      <w:tr>
        <w:tc>
          <w:p>
            <w:pPr>
              <w:pStyle w:val="Compact"/>
              <w:jc w:val="left"/>
            </w:pPr>
            <w:r>
              <w:t xml:space="preserve">Synthesis Proposal</w:t>
            </w:r>
          </w:p>
        </w:tc>
        <w:tc>
          <w:p>
            <w:pPr>
              <w:pStyle w:val="Compact"/>
              <w:jc w:val="left"/>
            </w:pPr>
            <w:r>
              <w:t xml:space="preserve">15%</w:t>
            </w:r>
          </w:p>
        </w:tc>
      </w:tr>
      <w:tr>
        <w:tc>
          <w:p>
            <w:pPr>
              <w:pStyle w:val="Compact"/>
              <w:jc w:val="left"/>
            </w:pPr>
            <w:r>
              <w:t xml:space="preserve">Presentation</w:t>
            </w:r>
          </w:p>
        </w:tc>
        <w:tc>
          <w:p>
            <w:pPr>
              <w:pStyle w:val="Compact"/>
              <w:jc w:val="left"/>
            </w:pPr>
            <w:r>
              <w:t xml:space="preserve">15%</w:t>
            </w:r>
          </w:p>
        </w:tc>
      </w:tr>
    </w:tbl>
    <w:p>
      <w:pPr>
        <w:pStyle w:val="Heading1"/>
      </w:pPr>
      <w:bookmarkStart w:id="29" w:name="course-policies"/>
      <w:r>
        <w:t xml:space="preserve">Course policies</w:t>
      </w:r>
      <w:bookmarkEnd w:id="29"/>
    </w:p>
    <w:p>
      <w:pPr>
        <w:pStyle w:val="Heading2"/>
      </w:pPr>
      <w:bookmarkStart w:id="30" w:name="technology-issues-when-submitting-work"/>
      <w:r>
        <w:t xml:space="preserve">Technology issues when submitting work</w:t>
      </w:r>
      <w:bookmarkEnd w:id="30"/>
    </w:p>
    <w:p>
      <w:pPr>
        <w:pStyle w:val="FirstParagraph"/>
      </w:pPr>
      <w:r>
        <w:t xml:space="preserve">For assignments submitted electronically, it is your responsibility to make sure they are submitted on time, through any means necessary, even if technology issues arise. If a tech issue arises, it is your responsibility to find another way to get it to me (for example, via an email attachment). Technology issues that are avoidable or resolved with a simple work-around will not be considered valid grounds for a deadline extension.</w:t>
      </w:r>
    </w:p>
    <w:p>
      <w:pPr>
        <w:pStyle w:val="Heading2"/>
      </w:pPr>
      <w:bookmarkStart w:id="31" w:name="academic-dishonesty"/>
      <w:r>
        <w:t xml:space="preserve">Academic Dishonesty</w:t>
      </w:r>
      <w:bookmarkEnd w:id="31"/>
    </w:p>
    <w:p>
      <w:pPr>
        <w:pStyle w:val="FirstParagraph"/>
      </w:pPr>
      <w:r>
        <w:t xml:space="preserve">For most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05"/>
          <w:ilvl w:val="0"/>
        </w:numPr>
      </w:pPr>
      <w:r>
        <w:t xml:space="preserve">copying work from another student;</w:t>
      </w:r>
    </w:p>
    <w:p>
      <w:pPr>
        <w:pStyle w:val="Compact"/>
        <w:numPr>
          <w:numId w:val="1005"/>
          <w:ilvl w:val="0"/>
        </w:numPr>
      </w:pPr>
      <w:r>
        <w:t xml:space="preserve">copying work from a website;</w:t>
      </w:r>
    </w:p>
    <w:p>
      <w:pPr>
        <w:pStyle w:val="Compact"/>
        <w:numPr>
          <w:numId w:val="1005"/>
          <w:ilvl w:val="0"/>
        </w:numPr>
      </w:pPr>
      <w:r>
        <w:t xml:space="preserve">paraphrasing work done by another student or from print or internet resources—i.e. putting it in your own words—without coming up with the main ideas and strategies yourself; and</w:t>
      </w:r>
    </w:p>
    <w:p>
      <w:pPr>
        <w:pStyle w:val="Compact"/>
        <w:numPr>
          <w:numId w:val="1005"/>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32">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w:t>
      </w:r>
    </w:p>
    <w:p>
      <w:pPr>
        <w:pStyle w:val="Heading2"/>
      </w:pPr>
      <w:bookmarkStart w:id="33" w:name="X1f010d16c6f4ce1d23e7ec3c98a04e3190a1648"/>
      <w:r>
        <w:t xml:space="preserve">Dropping the course after the census date</w:t>
      </w:r>
      <w:bookmarkEnd w:id="33"/>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1"/>
      </w:pPr>
      <w:bookmarkStart w:id="34" w:name="university-policies-and-disclaimers"/>
      <w:r>
        <w:t xml:space="preserve">University policies and disclaimers</w:t>
      </w:r>
      <w:bookmarkEnd w:id="34"/>
    </w:p>
    <w:p>
      <w:pPr>
        <w:pStyle w:val="FirstParagraph"/>
      </w:pPr>
      <w:r>
        <w:t xml:space="preserve">In addition to course policies, you are expected to be familiar with Academic Regulations described in the</w:t>
      </w:r>
      <w:r>
        <w:t xml:space="preserve"> </w:t>
      </w:r>
      <w:hyperlink r:id="rId35">
        <w:r>
          <w:rPr>
            <w:rStyle w:val="Hyperlink"/>
          </w:rPr>
          <w:t xml:space="preserve">University Catalog</w:t>
        </w:r>
      </w:hyperlink>
      <w:r>
        <w:t xml:space="preserve"> </w:t>
      </w:r>
      <w:r>
        <w:t xml:space="preserve">as well as policies listed below.</w:t>
      </w:r>
    </w:p>
    <w:p>
      <w:pPr>
        <w:pStyle w:val="BodyText"/>
      </w:pPr>
      <w:r>
        <w:rPr>
          <w:b/>
        </w:rPr>
        <w:t xml:space="preserve">Students with Disabilities</w:t>
      </w:r>
      <w:r>
        <w:t xml:space="preserve">: Upon identifying themselves to the instructor and the university, students with disabilities will receive reasonable accommodation for learning and evaluation. For more information, contact Services to Students with Disabilities in the Henry Madden Library, Room 1202 (278-2811).</w:t>
      </w:r>
    </w:p>
    <w:p>
      <w:pPr>
        <w:pStyle w:val="Compact"/>
        <w:numPr>
          <w:numId w:val="1006"/>
          <w:ilvl w:val="0"/>
        </w:numPr>
      </w:pPr>
      <w:r>
        <w:t xml:space="preserve">Class Schedule Policies:</w:t>
      </w:r>
      <w:r>
        <w:t xml:space="preserve"> </w:t>
      </w:r>
      <w:hyperlink r:id="rId36">
        <w:r>
          <w:rPr>
            <w:rStyle w:val="Hyperlink"/>
          </w:rPr>
          <w:t xml:space="preserve">http://fresnostate.edu/studentaffairs/classschedule/policy/</w:t>
        </w:r>
      </w:hyperlink>
    </w:p>
    <w:p>
      <w:pPr>
        <w:pStyle w:val="Compact"/>
        <w:numPr>
          <w:numId w:val="1006"/>
          <w:ilvl w:val="0"/>
        </w:numPr>
      </w:pPr>
      <w:r>
        <w:t xml:space="preserve">Copyright Policy:</w:t>
      </w:r>
      <w:r>
        <w:t xml:space="preserve"> </w:t>
      </w:r>
      <w:hyperlink r:id="rId37">
        <w:r>
          <w:rPr>
            <w:rStyle w:val="Hyperlink"/>
          </w:rPr>
          <w:t xml:space="preserve">http://libguides.csufresno.edu/copyright</w:t>
        </w:r>
      </w:hyperlink>
    </w:p>
    <w:p>
      <w:pPr>
        <w:pStyle w:val="Compact"/>
        <w:numPr>
          <w:numId w:val="1006"/>
          <w:ilvl w:val="0"/>
        </w:numPr>
      </w:pPr>
      <w:r>
        <w:t xml:space="preserve">Students with Disabilities:</w:t>
      </w:r>
      <w:r>
        <w:t xml:space="preserve"> </w:t>
      </w:r>
      <w:hyperlink r:id="rId38">
        <w:r>
          <w:rPr>
            <w:rStyle w:val="Hyperlink"/>
          </w:rPr>
          <w:t xml:space="preserve">http://fresnostate.edu/studentaffairs/careers/students/interests/disabilities.html</w:t>
        </w:r>
      </w:hyperlink>
    </w:p>
    <w:p>
      <w:pPr>
        <w:pStyle w:val="Compact"/>
        <w:numPr>
          <w:numId w:val="1006"/>
          <w:ilvl w:val="0"/>
        </w:numPr>
      </w:pPr>
      <w:r>
        <w:t xml:space="preserve">Academic Integrity and Honor Code:</w:t>
      </w:r>
      <w:r>
        <w:t xml:space="preserve"> </w:t>
      </w:r>
      <w:hyperlink r:id="rId39">
        <w:r>
          <w:rPr>
            <w:rStyle w:val="Hyperlink"/>
          </w:rPr>
          <w:t xml:space="preserve">http://www.fresnostate.edu/academics/facultyaffairs/documents/apm/236.pdf</w:t>
        </w:r>
      </w:hyperlink>
    </w:p>
    <w:p>
      <w:pPr>
        <w:pStyle w:val="Compact"/>
        <w:numPr>
          <w:numId w:val="1006"/>
          <w:ilvl w:val="0"/>
        </w:numPr>
      </w:pPr>
      <w:r>
        <w:t xml:space="preserve">Policy on Cheating and Plagiarism:</w:t>
      </w:r>
      <w:r>
        <w:t xml:space="preserve"> </w:t>
      </w:r>
      <w:hyperlink r:id="rId40">
        <w:r>
          <w:rPr>
            <w:rStyle w:val="Hyperlink"/>
          </w:rPr>
          <w:t xml:space="preserve">http://fresnostate.edu/studentaffairs/studentconduct/policies/cheating-plagiarism.html</w:t>
        </w:r>
      </w:hyperlink>
    </w:p>
    <w:p>
      <w:pPr>
        <w:pStyle w:val="Compact"/>
        <w:numPr>
          <w:numId w:val="1006"/>
          <w:ilvl w:val="0"/>
        </w:numPr>
      </w:pPr>
      <w:r>
        <w:t xml:space="preserve">Add/Drop Course:</w:t>
      </w:r>
      <w:r>
        <w:t xml:space="preserve"> </w:t>
      </w:r>
      <w:hyperlink r:id="rId41">
        <w:r>
          <w:rPr>
            <w:rStyle w:val="Hyperlink"/>
          </w:rPr>
          <w:t xml:space="preserve">http://www.fresnostate.edu/studentaffairs/registrar/registration/</w:t>
        </w:r>
      </w:hyperlink>
    </w:p>
    <w:p>
      <w:pPr>
        <w:pStyle w:val="Compact"/>
        <w:numPr>
          <w:numId w:val="1006"/>
          <w:ilvl w:val="0"/>
        </w:numPr>
      </w:pPr>
      <w:r>
        <w:t xml:space="preserve">Computer requirements:</w:t>
      </w:r>
      <w:r>
        <w:t xml:space="preserve"> </w:t>
      </w:r>
      <w:hyperlink r:id="rId42">
        <w:r>
          <w:rPr>
            <w:rStyle w:val="Hyperlink"/>
          </w:rPr>
          <w:t xml:space="preserve">https://www.fresnostate.edu/catalog/academic-regulations/index.html#computerreq</w:t>
        </w:r>
      </w:hyperlink>
    </w:p>
    <w:p>
      <w:pPr>
        <w:pStyle w:val="Compact"/>
        <w:numPr>
          <w:numId w:val="1006"/>
          <w:ilvl w:val="0"/>
        </w:numPr>
      </w:pPr>
      <w:r>
        <w:t xml:space="preserve">Disruptive classroom behavior:</w:t>
      </w:r>
      <w:r>
        <w:t xml:space="preserve"> </w:t>
      </w:r>
      <w:hyperlink r:id="rId43">
        <w:r>
          <w:rPr>
            <w:rStyle w:val="Hyperlink"/>
          </w:rPr>
          <w:t xml:space="preserve">http://www.fresnostate.edu/academics/facultyaffairs/documents/apm/419.pdf</w:t>
        </w:r>
      </w:hyperlink>
    </w:p>
    <w:p>
      <w:pPr>
        <w:pStyle w:val="Heading1"/>
      </w:pPr>
      <w:bookmarkStart w:id="44" w:name="university-services"/>
      <w:r>
        <w:t xml:space="preserve">University Services</w:t>
      </w:r>
      <w:bookmarkEnd w:id="44"/>
    </w:p>
    <w:p>
      <w:pPr>
        <w:pStyle w:val="Compact"/>
        <w:numPr>
          <w:numId w:val="1007"/>
          <w:ilvl w:val="0"/>
        </w:numPr>
      </w:pPr>
      <w:hyperlink r:id="rId45">
        <w:r>
          <w:rPr>
            <w:rStyle w:val="Hyperlink"/>
          </w:rPr>
          <w:t xml:space="preserve">Associated Students, Inc.</w:t>
        </w:r>
      </w:hyperlink>
    </w:p>
    <w:p>
      <w:pPr>
        <w:pStyle w:val="Compact"/>
        <w:numPr>
          <w:numId w:val="1007"/>
          <w:ilvl w:val="0"/>
        </w:numPr>
      </w:pPr>
      <w:hyperlink r:id="rId46">
        <w:r>
          <w:rPr>
            <w:rStyle w:val="Hyperlink"/>
          </w:rPr>
          <w:t xml:space="preserve">Dream Success Center</w:t>
        </w:r>
      </w:hyperlink>
    </w:p>
    <w:p>
      <w:pPr>
        <w:pStyle w:val="Compact"/>
        <w:numPr>
          <w:numId w:val="1007"/>
          <w:ilvl w:val="0"/>
        </w:numPr>
      </w:pPr>
      <w:hyperlink r:id="rId47">
        <w:r>
          <w:rPr>
            <w:rStyle w:val="Hyperlink"/>
          </w:rPr>
          <w:t xml:space="preserve">Learning Center Information</w:t>
        </w:r>
      </w:hyperlink>
    </w:p>
    <w:p>
      <w:pPr>
        <w:pStyle w:val="Compact"/>
        <w:numPr>
          <w:numId w:val="1007"/>
          <w:ilvl w:val="0"/>
        </w:numPr>
      </w:pPr>
      <w:hyperlink r:id="rId48">
        <w:r>
          <w:rPr>
            <w:rStyle w:val="Hyperlink"/>
          </w:rPr>
          <w:t xml:space="preserve">Student Health and Counseling Center</w:t>
        </w:r>
      </w:hyperlink>
    </w:p>
    <w:p>
      <w:pPr>
        <w:pStyle w:val="Compact"/>
        <w:numPr>
          <w:numId w:val="1007"/>
          <w:ilvl w:val="0"/>
        </w:numPr>
      </w:pPr>
      <w:hyperlink r:id="rId49">
        <w:r>
          <w:rPr>
            <w:rStyle w:val="Hyperlink"/>
          </w:rPr>
          <w:t xml:space="preserve">Writing Center</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_rels/footnotes.xml.rels><?xml version="1.0" encoding="UTF-8"?>
<Relationships xmlns="http://schemas.openxmlformats.org/package/2006/relationships"><Relationship Type="http://schemas.openxmlformats.org/officeDocument/2006/relationships/hyperlink" Id="rId21" Target="hmuchalski@mail.fresnostate.edu" TargetMode="External" /><Relationship Type="http://schemas.openxmlformats.org/officeDocument/2006/relationships/hyperlink" Id="rId38" Target="http://fresnostate.edu/studentaffairs/careers/students/interests/disabilities.html" TargetMode="External" /><Relationship Type="http://schemas.openxmlformats.org/officeDocument/2006/relationships/hyperlink" Id="rId36" Target="http://fresnostate.edu/studentaffairs/classschedule/policy/" TargetMode="External" /><Relationship Type="http://schemas.openxmlformats.org/officeDocument/2006/relationships/hyperlink" Id="rId46" Target="http://fresnostate.edu/studentaffairs/dsc/index.html" TargetMode="External" /><Relationship Type="http://schemas.openxmlformats.org/officeDocument/2006/relationships/hyperlink" Id="rId47" Target="http://fresnostate.edu/studentaffairs/lrc" TargetMode="External" /><Relationship Type="http://schemas.openxmlformats.org/officeDocument/2006/relationships/hyperlink" Id="rId40" Target="http://fresnostate.edu/studentaffairs/studentconduct/policies/cheating-plagiarism.html" TargetMode="External" /><Relationship Type="http://schemas.openxmlformats.org/officeDocument/2006/relationships/hyperlink" Id="rId45" Target="http://fresnostateasi.org/" TargetMode="External" /><Relationship Type="http://schemas.openxmlformats.org/officeDocument/2006/relationships/hyperlink" Id="rId37" Target="http://libguides.csufresno.edu/copyright" TargetMode="External" /><Relationship Type="http://schemas.openxmlformats.org/officeDocument/2006/relationships/hyperlink" Id="rId39" Target="http://www.fresnostate.edu/academics/facultyaffairs/documents/apm/236.pdf" TargetMode="External" /><Relationship Type="http://schemas.openxmlformats.org/officeDocument/2006/relationships/hyperlink" Id="rId43" Target="http://www.fresnostate.edu/academics/facultyaffairs/documents/apm/419.pdf" TargetMode="External" /><Relationship Type="http://schemas.openxmlformats.org/officeDocument/2006/relationships/hyperlink" Id="rId32" Target="http://www.fresnostate.edu/aps/documents/apm/235.pdf" TargetMode="External" /><Relationship Type="http://schemas.openxmlformats.org/officeDocument/2006/relationships/hyperlink" Id="rId49" Target="http://www.fresnostate.edu/artshum/writingcenter/" TargetMode="External" /><Relationship Type="http://schemas.openxmlformats.org/officeDocument/2006/relationships/hyperlink" Id="rId35" Target="http://www.fresnostate.edu/catalog/academic-regulations/" TargetMode="External" /><Relationship Type="http://schemas.openxmlformats.org/officeDocument/2006/relationships/hyperlink" Id="rId41" Target="http://www.fresnostate.edu/studentaffairs/registrar/registration/" TargetMode="External" /><Relationship Type="http://schemas.openxmlformats.org/officeDocument/2006/relationships/hyperlink" Id="rId22" Target="https://fresnostate.instructure.com/courses/4365" TargetMode="External" /><Relationship Type="http://schemas.openxmlformats.org/officeDocument/2006/relationships/hyperlink" Id="rId42" Target="https://www.fresnostate.edu/catalog/academic-regulations/index.html#computerreq" TargetMode="External" /><Relationship Type="http://schemas.openxmlformats.org/officeDocument/2006/relationships/hyperlink" Id="rId48" Target="https://www.fresnostate.edu/studentaffairs/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
  <cp:keywords/>
  <dcterms:created xsi:type="dcterms:W3CDTF">2019-08-22T11:36:58Z</dcterms:created>
  <dcterms:modified xsi:type="dcterms:W3CDTF">2019-08-22T11:36:58Z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240T, Fall 2019</vt:lpwstr>
  </property>
</Properties>
</file>