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Drip</w:t>
      </w:r>
      <w:r>
        <w:t xml:space="preserve"> </w:t>
      </w:r>
      <w:r>
        <w:t xml:space="preserve">Irrigation</w:t>
      </w:r>
      <w:r>
        <w:t xml:space="preserve"> </w:t>
      </w:r>
      <w:r>
        <w:t xml:space="preserve">Design</w:t>
      </w:r>
      <w:r>
        <w:t xml:space="preserve"> </w:t>
      </w:r>
      <w:r>
        <w:t xml:space="preserve">Workbench</w:t>
      </w:r>
    </w:p>
    <w:p>
      <w:pPr>
        <w:pStyle w:val="Subtitle"/>
      </w:pPr>
      <w:r>
        <w:t xml:space="preserve">Manual</w:t>
      </w:r>
      <w:r>
        <w:t xml:space="preserve"> </w:t>
      </w:r>
      <w:r>
        <w:t xml:space="preserve">2</w:t>
      </w:r>
      <w:r>
        <w:t xml:space="preserve"> </w:t>
      </w:r>
      <w:r>
        <w:t xml:space="preserve">—</w:t>
      </w:r>
      <w:r>
        <w:t xml:space="preserve"> </w:t>
      </w:r>
      <w:r>
        <w:t xml:space="preserve">Theory</w:t>
      </w:r>
      <w:r>
        <w:t xml:space="preserve"> </w:t>
      </w:r>
      <w:r>
        <w:t xml:space="preserve">and</w:t>
      </w:r>
      <w:r>
        <w:t xml:space="preserve"> </w:t>
      </w:r>
      <w:r>
        <w:t xml:space="preserve">Equations</w:t>
      </w:r>
    </w:p>
    <w:p>
      <w:pPr>
        <w:pStyle w:val="Date"/>
      </w:pPr>
      <w:r>
        <w:t xml:space="preserve">31</w:t>
      </w:r>
      <w:r>
        <w:t xml:space="preserve"> </w:t>
      </w:r>
      <w:r>
        <w:t xml:space="preserve">July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Every equation implemented in the code, with symbols defined, units stated, and provenance given.</w:t>
      </w:r>
    </w:p>
    <w:p>
      <w:pPr>
        <w:pStyle w:val="BodyText"/>
      </w:pPr>
      <w:r>
        <w:t xml:space="preserve">Each section names the function or block in</w:t>
      </w:r>
      <w:r>
        <w:t xml:space="preserve"> </w:t>
      </w:r>
      <w:r>
        <w:rPr>
          <w:rStyle w:val="VerbatimChar"/>
        </w:rPr>
        <w:t xml:space="preserve">src/DripDesign.jsx</w:t>
      </w:r>
      <w:r>
        <w:t xml:space="preserve"> </w:t>
      </w:r>
      <w:r>
        <w:t xml:space="preserve">that implements it, so the</w:t>
      </w:r>
      <w:r>
        <w:t xml:space="preserve"> </w:t>
      </w:r>
      <w:r>
        <w:t xml:space="preserve">document can be checked against the source line by line.</w:t>
      </w:r>
    </w:p>
    <w:p>
      <w:r>
        <w:pict>
          <v:rect style="width:0;height:1.5pt" o:hralign="center" o:hrstd="t" o:hr="t"/>
        </w:pict>
      </w:r>
    </w:p>
    <w:bookmarkStart w:id="24" w:name="notation"/>
    <w:p>
      <w:pPr>
        <w:pStyle w:val="Heading2"/>
      </w:pPr>
      <w:r>
        <w:rPr>
          <w:rStyle w:val="SectionNumber"/>
        </w:rPr>
        <w:t xml:space="preserve">0.1</w:t>
      </w:r>
      <w:r>
        <w:tab/>
      </w:r>
      <w:r>
        <w:t xml:space="preserve">1. Notation</w:t>
      </w:r>
    </w:p>
    <w:bookmarkStart w:id="20" w:name="soil"/>
    <w:p>
      <w:pPr>
        <w:pStyle w:val="Heading3"/>
      </w:pPr>
      <w:r>
        <w:rPr>
          <w:rStyle w:val="SectionNumber"/>
        </w:rPr>
        <w:t xml:space="preserve">0.1.1</w:t>
      </w:r>
      <w:r>
        <w:tab/>
      </w:r>
      <w:r>
        <w:t xml:space="preserve">Soil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Volumetric water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cm³ cm⁻³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θr, θs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Residual, saturated water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cm³ cm⁻³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θ_FC, θ_WP, θᵢ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 field capacity, wilting point, initial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cm³ cm⁻³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 head (negative when unsaturated)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saturation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van Genuchten inverse air-entry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n,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Pore-size distribution index; m = 1 − 1/n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Mualem pore-connectivity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Ks, K(h)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Saturated and unsaturated hydraulic conductivity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 d⁻¹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 flux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cm² d⁻¹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λc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Macroscopic capillary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α_eff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Gardner parameter, 1/λc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content change on wetting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cm³ cm⁻³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Available water capacity, θ_FC − θ_WP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cm³ cm⁻³</w:t>
            </w:r>
          </w:p>
        </w:tc>
      </w:tr>
    </w:tbl>
    <w:bookmarkEnd w:id="20"/>
    <w:bookmarkStart w:id="21" w:name="hydraulics"/>
    <w:p>
      <w:pPr>
        <w:pStyle w:val="Heading3"/>
      </w:pPr>
      <w:r>
        <w:rPr>
          <w:rStyle w:val="SectionNumber"/>
        </w:rPr>
        <w:t xml:space="preserve">0.1.2</w:t>
      </w:r>
      <w:r>
        <w:tab/>
      </w:r>
      <w:r>
        <w:t xml:space="preserve">Hydraulics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q, qₙ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Emitter discharge, nominal discharge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 h⁻¹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h, hₙ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Emitter pressure head, nominal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k,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Emitter coefficient and exponent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Manufacturing coefficient of variation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Emitters per plant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uniformity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Volumetric flow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m³ s⁻¹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D, 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Inside diameter,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velocity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s⁻¹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Reynolds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Darcy friction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Absolute pipe roughness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Kinematic viscosity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m² s⁻¹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h_f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loss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k_l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loss multiplier for emitter barbs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Slope, positive downhill in the flow direction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m⁻¹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dynamic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Pump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21"/>
    <w:bookmarkStart w:id="22" w:name="agronomy"/>
    <w:p>
      <w:pPr>
        <w:pStyle w:val="Heading3"/>
      </w:pPr>
      <w:r>
        <w:rPr>
          <w:rStyle w:val="SectionNumber"/>
        </w:rPr>
        <w:t xml:space="preserve">0.1.3</w:t>
      </w:r>
      <w:r>
        <w:tab/>
      </w:r>
      <w:r>
        <w:t xml:space="preserve">Agronomy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ET₀, 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 and crop evapotranspiration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d⁻¹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Crop coefficient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Rooting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TAW, RAW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and readily available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p, p_adj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Depletion fraction, table and adjusted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Root-zone depletion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Managed wetted 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efficiency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Leaching 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Application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mm h⁻¹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Sₑ, Sr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Emitter spacing, row spacing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n_shifts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of sequential irrigation shifts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T_max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daily operating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</w:t>
            </w:r>
          </w:p>
        </w:tc>
      </w:tr>
    </w:tbl>
    <w:bookmarkEnd w:id="22"/>
    <w:bookmarkStart w:id="23" w:name="wetting-front"/>
    <w:p>
      <w:pPr>
        <w:pStyle w:val="Heading3"/>
      </w:pPr>
      <w:r>
        <w:rPr>
          <w:rStyle w:val="SectionNumber"/>
        </w:rPr>
        <w:t xml:space="preserve">0.1.4</w:t>
      </w:r>
      <w:r>
        <w:tab/>
      </w:r>
      <w:r>
        <w:t xml:space="preserve">Wetting front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w, 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Bulb width and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volume applied per emitter per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r₀, r_w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Assumed and Wooding source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surface flux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 h⁻¹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Normalised spacing, Sₑ/w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z_ov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Depth to which adjacent bulbs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Overlap area fraction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Wetted fraction of the soil surface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soil-hydraulic-functions"/>
    <w:p>
      <w:pPr>
        <w:pStyle w:val="Heading2"/>
      </w:pPr>
      <w:r>
        <w:rPr>
          <w:rStyle w:val="SectionNumber"/>
        </w:rPr>
        <w:t xml:space="preserve">0.2</w:t>
      </w:r>
      <w:r>
        <w:tab/>
      </w:r>
      <w:r>
        <w:t xml:space="preserve">2. Soil hydraulic functions</w:t>
      </w:r>
    </w:p>
    <w:p>
      <w:pPr>
        <w:pStyle w:val="FirstParagraph"/>
      </w:pPr>
      <w:r>
        <w:rPr>
          <w:iCs/>
          <w:i/>
        </w:rPr>
        <w:t xml:space="preserve">Implemented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seOfH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thetaOfH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kOfSe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kOfH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matricFluxPotential</w:t>
      </w:r>
      <w:r>
        <w:rPr>
          <w:iCs/>
          <w:i/>
        </w:rPr>
        <w:t xml:space="preserve">, block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</w:t>
      </w:r>
      <w:r>
        <w:rPr>
          <w:iCs/>
          <w:i/>
        </w:rPr>
        <w:t xml:space="preserve">.</w:t>
      </w:r>
    </w:p>
    <w:bookmarkStart w:id="25" w:name="van-genuchten-retention"/>
    <w:p>
      <w:pPr>
        <w:pStyle w:val="Heading3"/>
      </w:pPr>
      <w:r>
        <w:rPr>
          <w:rStyle w:val="SectionNumber"/>
        </w:rPr>
        <w:t xml:space="preserve">0.2.1</w:t>
      </w:r>
      <w:r>
        <w:tab/>
      </w:r>
      <w:r>
        <w:t xml:space="preserve">2.1 van Genuchten retention</w:t>
      </w:r>
    </w:p>
    <w:p>
      <w:pPr>
        <w:pStyle w:val="FirstParagraph"/>
      </w:pPr>
      <w:r>
        <w:t xml:space="preserve">van Genuchten (1980):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d>
                        <m:dPr>
                          <m:begChr m:val="|"/>
                          <m:endChr m:val="|"/>
                          <m:sepChr m:val=""/>
                          <m:grow/>
                        </m:dPr>
                        <m:e>
                          <m:r>
                            <m:t>α</m:t>
                          </m:r>
                          <m:r>
                            <m:t>h</m:t>
                          </m:r>
                        </m:e>
                      </m:d>
                    </m:e>
                    <m:sup>
                      <m:r>
                        <m:t>n</m:t>
                      </m:r>
                    </m:sup>
                  </m:sSup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m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t> </m:t>
          </m:r>
          <m:r>
            <m:rPr>
              <m:nor/>
              <m:sty m:val="p"/>
            </m:rPr>
            <m:t>for </m:t>
          </m:r>
          <m:r>
            <m:t>h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the Mualem restriction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Water content follows from effective saturation: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r</m:t>
                  </m:r>
                </m:sub>
              </m:sSub>
            </m:e>
          </m:d>
          <m:r>
            <m:t> </m:t>
          </m:r>
          <m:sSub>
            <m:e>
              <m:r>
                <m:t>S</m:t>
              </m:r>
            </m:e>
            <m:sub>
              <m:r>
                <m:t>e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</m:oMath>
      </m:oMathPara>
    </w:p>
    <w:bookmarkEnd w:id="25"/>
    <w:bookmarkStart w:id="26" w:name="mualem-conductivity"/>
    <w:p>
      <w:pPr>
        <w:pStyle w:val="Heading3"/>
      </w:pPr>
      <w:r>
        <w:rPr>
          <w:rStyle w:val="SectionNumber"/>
        </w:rPr>
        <w:t xml:space="preserve">0.2.2</w:t>
      </w:r>
      <w:r>
        <w:tab/>
      </w:r>
      <w:r>
        <w:t xml:space="preserve">2.2 Mualem conductivity</w:t>
      </w:r>
    </w:p>
    <w:p>
      <w:pPr>
        <w:pStyle w:val="FirstParagraph"/>
      </w:pPr>
      <w:r>
        <w:t xml:space="preserve">Mualem (1976) combined with the van Genuchten retention curve: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e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s</m:t>
              </m:r>
            </m:sub>
          </m:sSub>
          <m:r>
            <m:t> </m:t>
          </m:r>
          <m:sSubSup>
            <m:e>
              <m:r>
                <m:t>S</m:t>
              </m:r>
            </m:e>
            <m:sub>
              <m:r>
                <m:t>e</m:t>
              </m:r>
            </m:sub>
            <m:sup>
              <m:r>
                <m:t> </m:t>
              </m:r>
              <m:r>
                <m:t>l</m:t>
              </m:r>
            </m:sup>
          </m:sSubSup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d>
                        <m:dPr>
                          <m:begChr m:val="("/>
                          <m:endChr m:val=")"/>
                          <m:sepChr m:val="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Sup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e</m:t>
                              </m:r>
                            </m:sub>
                            <m:sup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/</m:t>
                              </m:r>
                              <m:r>
                                <m:t>m</m:t>
                              </m:r>
                            </m:sup>
                          </m:sSubSup>
                        </m:e>
                      </m:d>
                    </m:e>
                    <m:sup>
                      <m:r>
                        <m:t>m</m:t>
                      </m:r>
                    </m:sup>
                  </m:sSup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exponent l is the pore-connectivity parameter, conventionally 0.5 for mineral soils. It is</w:t>
      </w:r>
      <w:r>
        <w:t xml:space="preserve"> </w:t>
      </w:r>
      <w:r>
        <w:t xml:space="preserve">exposed as an input because engineered substrates frequently require a different value, and it</w:t>
      </w:r>
      <w:r>
        <w:t xml:space="preserve"> </w:t>
      </w:r>
      <w:r>
        <w:t xml:space="preserve">influences the shape of K(h) near saturation, which in turn controls the capillary length in</w:t>
      </w:r>
      <w:r>
        <w:t xml:space="preserve"> </w:t>
      </w:r>
      <w:r>
        <w:t xml:space="preserve">Section 2.4.</w:t>
      </w:r>
    </w:p>
    <w:bookmarkEnd w:id="26"/>
    <w:bookmarkStart w:id="27" w:name="characteristic-water-contents"/>
    <w:p>
      <w:pPr>
        <w:pStyle w:val="Heading3"/>
      </w:pPr>
      <w:r>
        <w:rPr>
          <w:rStyle w:val="SectionNumber"/>
        </w:rPr>
        <w:t xml:space="preserve">0.2.3</w:t>
      </w:r>
      <w:r>
        <w:tab/>
      </w:r>
      <w:r>
        <w:t xml:space="preserve">2.3 Characteristic water contents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θ_FC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 at the field-capacity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−100 cm (user-set)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θ_WP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 at the wilting-point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−15000 cm (fixed)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θᵢ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 at the initial 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−800 cm (user-set)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AWC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F</m:t>
              </m:r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W</m:t>
              </m:r>
              <m:r>
                <m:t>P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F</m:t>
              </m:r>
              <m:r>
                <m:t>C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AWC drives the water balance (Section 8). Δθ drives the mass-balance bulb (Section 10.4). The</w:t>
      </w:r>
      <w:r>
        <w:t xml:space="preserve"> </w:t>
      </w:r>
      <w:r>
        <w:t xml:space="preserve">field-capacity head is a convention, not a physical constant: −60 to −100 cm is usual for coarse</w:t>
      </w:r>
      <w:r>
        <w:t xml:space="preserve"> </w:t>
      </w:r>
      <w:r>
        <w:t xml:space="preserve">soils, −330 cm for fine ones.</w:t>
      </w:r>
    </w:p>
    <w:bookmarkEnd w:id="27"/>
    <w:bookmarkStart w:id="28" w:name="Xf5e7f98ff2d0eadbddd8dd179da034a1b7c8312"/>
    <w:p>
      <w:pPr>
        <w:pStyle w:val="Heading3"/>
      </w:pPr>
      <w:r>
        <w:rPr>
          <w:rStyle w:val="SectionNumber"/>
        </w:rPr>
        <w:t xml:space="preserve">0.2.4</w:t>
      </w:r>
      <w:r>
        <w:tab/>
      </w:r>
      <w:r>
        <w:t xml:space="preserve">2.4 Matric flux potential and capillary length</w:t>
      </w:r>
    </w:p>
    <w:p>
      <w:pPr>
        <w:pStyle w:val="FirstParagraph"/>
      </w:pPr>
      <w:r>
        <w:t xml:space="preserve">The matric flux potential, sometimes called the Kirchhoff transform, is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0</m:t>
              </m:r>
            </m:sup>
            <m:e>
              <m:r>
                <m:t>K</m:t>
              </m:r>
            </m:e>
          </m:nary>
          <m:d>
            <m:dPr>
              <m:begChr m:val="("/>
              <m:endChr m:val=")"/>
              <m:sepChr m:val=""/>
              <m:grow/>
            </m:dPr>
            <m:e>
              <m:r>
                <m:t>h</m:t>
              </m:r>
            </m:e>
          </m:d>
          <m:r>
            <m:t> </m:t>
          </m:r>
          <m:r>
            <m:rPr>
              <m:sty m:val="p"/>
            </m:rPr>
            <m:t>d</m:t>
          </m:r>
          <m:r>
            <m:t>h</m:t>
          </m:r>
          <m:r>
            <m:t>  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macroscopic capillary length follows as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ϕ</m:t>
              </m:r>
            </m:num>
            <m:den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</m:den>
          </m:f>
          <m:r>
            <m:t>  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α</m:t>
              </m:r>
            </m:e>
            <m:sub>
              <m:r>
                <m:rPr>
                  <m:nor/>
                  <m:sty m:val="p"/>
                </m:rPr>
                <m:t>eff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λ</m:t>
                  </m:r>
                </m:e>
                <m:sub>
                  <m:r>
                    <m:t>c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Why this matters.</w:t>
      </w:r>
      <w:r>
        <w:t xml:space="preserve"> </w:t>
      </w:r>
      <w:r>
        <w:t xml:space="preserve">λc is the length scale over which capillarity competes with gravity. A short</w:t>
      </w:r>
      <w:r>
        <w:t xml:space="preserve"> </w:t>
      </w:r>
      <w:r>
        <w:t xml:space="preserve">λc means gravity dominates and the bulb is narrow and deep; a long λc means capillarity spreads</w:t>
      </w:r>
      <w:r>
        <w:t xml:space="preserve"> </w:t>
      </w:r>
      <w:r>
        <w:t xml:space="preserve">water laterally and the bulb is wide and shallow. It is the single number that determines bulb</w:t>
      </w:r>
      <w:r>
        <w:t xml:space="preserve"> </w:t>
      </w:r>
      <w:r>
        <w:t xml:space="preserve">shape.</w:t>
      </w:r>
    </w:p>
    <w:p>
      <w:pPr>
        <w:pStyle w:val="BodyText"/>
      </w:pPr>
      <w:r>
        <w:rPr>
          <w:bCs/>
          <w:b/>
        </w:rPr>
        <w:t xml:space="preserve">Why it is integrated rather than substituted.</w:t>
      </w:r>
      <w:r>
        <w:t xml:space="preserve"> </w:t>
      </w:r>
      <w:r>
        <w:t xml:space="preserve">For a Gardner exponential conductivity</w:t>
      </w:r>
      <w:r>
        <w:t xml:space="preserve"> </w:t>
      </w:r>
      <w:r>
        <w:t xml:space="preserve">K = Ks exp(αh) the integral evaluates to φ = Ks/α exactly, so λc = 1/α. It is therefore tempting to</w:t>
      </w:r>
      <w:r>
        <w:t xml:space="preserve"> </w:t>
      </w:r>
      <w:r>
        <w:t xml:space="preserve">substitute α_vG directly. That is wrong: the van Genuchten–Mualem K(h) falls off far faster than</w:t>
      </w:r>
      <w:r>
        <w:t xml:space="preserve"> </w:t>
      </w:r>
      <w:r>
        <w:t xml:space="preserve">Gardner’s exponential, so most of the integral accumulates close to saturation and the resulting λc</w:t>
      </w:r>
      <w:r>
        <w:t xml:space="preserve"> </w:t>
      </w:r>
      <w:r>
        <w:t xml:space="preserve">is substantially shorter than 1/α_vG. For the Loam preset, 1/α_vG = 27.8 cm but the integrated</w:t>
      </w:r>
      <w:r>
        <w:t xml:space="preserve"> </w:t>
      </w:r>
      <w:r>
        <w:t xml:space="preserve">λc = 6.9 cm — a factor of four. Integrating also means θr, n and l all propagate into the bulb</w:t>
      </w:r>
      <w:r>
        <w:t xml:space="preserve"> </w:t>
      </w:r>
      <w:r>
        <w:t xml:space="preserve">geometry rather than being decorative.</w:t>
      </w:r>
    </w:p>
    <w:p>
      <w:pPr>
        <w:pStyle w:val="BodyText"/>
      </w:pPr>
      <w:r>
        <w:rPr>
          <w:bCs/>
          <w:b/>
        </w:rPr>
        <w:t xml:space="preserve">Numerical evaluation.</w:t>
      </w:r>
      <w:r>
        <w:t xml:space="preserve"> </w:t>
      </w:r>
      <w:r>
        <w:t xml:space="preserve">The integral is computed on a log-spaced grid in |h| from 10⁻² to 10⁵ cm</w:t>
      </w:r>
      <w:r>
        <w:t xml:space="preserve"> </w:t>
      </w:r>
      <w:r>
        <w:t xml:space="preserve">using 800 intervals with geometric-midpoint sampling, plus an analytic sliver Ks × 10⁻² for the</w:t>
      </w:r>
      <w:r>
        <w:t xml:space="preserve"> </w:t>
      </w:r>
      <w:r>
        <w:t xml:space="preserve">near-saturated region: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≈</m:t>
          </m:r>
          <m:sSub>
            <m:e>
              <m:r>
                <m:t>K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</m:sup>
          </m:sSup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800</m:t>
              </m:r>
            </m:sup>
            <m:e>
              <m:r>
                <m:t>K</m:t>
              </m:r>
            </m:e>
          </m:nary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rad>
            </m:e>
          </m:d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where a_i and b_i are consecutive grid points. Reference value for Loam: φ = 172.7 cm² d⁻¹.</w:t>
      </w:r>
    </w:p>
    <w:bookmarkEnd w:id="28"/>
    <w:bookmarkStart w:id="29" w:name="soil-database"/>
    <w:p>
      <w:pPr>
        <w:pStyle w:val="Heading3"/>
      </w:pPr>
      <w:r>
        <w:rPr>
          <w:rStyle w:val="SectionNumber"/>
        </w:rPr>
        <w:t xml:space="preserve">0.2.5</w:t>
      </w:r>
      <w:r>
        <w:tab/>
      </w:r>
      <w:r>
        <w:t xml:space="preserve">2.5 Soil database</w:t>
      </w:r>
    </w:p>
    <w:p>
      <w:pPr>
        <w:pStyle w:val="FirstParagraph"/>
      </w:pPr>
      <w:r>
        <w:t xml:space="preserve">Twelve textural classes from Carsel &amp; Parrish (1988), the same set distributed with HYDRUS, plus a</w:t>
      </w:r>
      <w:r>
        <w:t xml:space="preserve"> </w:t>
      </w:r>
      <w:r>
        <w:rPr>
          <w:bCs/>
          <w:b/>
        </w:rPr>
        <w:t xml:space="preserve">Custom</w:t>
      </w:r>
      <w:r>
        <w:t xml:space="preserve"> </w:t>
      </w:r>
      <w:r>
        <w:t xml:space="preserve">entry for materials outside that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θs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α (cm⁻¹)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Ks (cm d⁻¹)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712.8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Loamy sand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350.2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Sandy loam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106.1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Silt loam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Sandy clay loam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Clay loam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Silty clay loam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Sandy clay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Silty clay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4.80</w:t>
            </w:r>
          </w:p>
        </w:tc>
      </w:tr>
    </w:tbl>
    <w:p>
      <w:pPr>
        <w:pStyle w:val="BodyText"/>
      </w:pPr>
      <w:r>
        <w:t xml:space="preserve">All use l = 0.5.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emitter-hydraulics-and-uniformity"/>
    <w:p>
      <w:pPr>
        <w:pStyle w:val="Heading2"/>
      </w:pPr>
      <w:r>
        <w:rPr>
          <w:rStyle w:val="SectionNumber"/>
        </w:rPr>
        <w:t xml:space="preserve">0.3</w:t>
      </w:r>
      <w:r>
        <w:tab/>
      </w:r>
      <w:r>
        <w:t xml:space="preserve">3. Emitter hydraulics and uniformity</w:t>
      </w:r>
    </w:p>
    <w:p>
      <w:pPr>
        <w:pStyle w:val="FirstParagraph"/>
      </w:pPr>
      <w:r>
        <w:rPr>
          <w:iCs/>
          <w:i/>
        </w:rPr>
        <w:t xml:space="preserve">Implemented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marchLateral</w:t>
      </w:r>
      <w:r>
        <w:rPr>
          <w:iCs/>
          <w:i/>
        </w:rPr>
        <w:t xml:space="preserve"> </w:t>
      </w:r>
      <w:r>
        <w:rPr>
          <w:iCs/>
          <w:i/>
        </w:rPr>
        <w:t xml:space="preserve">and block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</w:t>
      </w:r>
      <w:r>
        <w:rPr>
          <w:iCs/>
          <w:i/>
        </w:rPr>
        <w:t xml:space="preserve">.</w:t>
      </w:r>
    </w:p>
    <w:bookmarkStart w:id="31" w:name="dischargepressure-relation"/>
    <w:p>
      <w:pPr>
        <w:pStyle w:val="Heading3"/>
      </w:pPr>
      <w:r>
        <w:rPr>
          <w:rStyle w:val="SectionNumber"/>
        </w:rPr>
        <w:t xml:space="preserve">0.3.1</w:t>
      </w:r>
      <w:r>
        <w:tab/>
      </w:r>
      <w:r>
        <w:t xml:space="preserve">3.1 Discharge–pressure relation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k</m:t>
          </m:r>
          <m:r>
            <m:t> </m:t>
          </m:r>
          <m:sSup>
            <m:e>
              <m:r>
                <m:t>h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q in L h⁻¹, h in m. The coefficient is fixed by the catalogue pair (qₙ, hₙ):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</m:num>
            <m:den>
              <m:sSubSup>
                <m:e>
                  <m:r>
                    <m:t>h</m:t>
                  </m:r>
                </m:e>
                <m:sub>
                  <m:r>
                    <m:t>n</m:t>
                  </m:r>
                </m:sub>
                <m:sup>
                  <m:r>
                    <m:t> </m:t>
                  </m:r>
                  <m:r>
                    <m:t>x</m:t>
                  </m:r>
                </m:sup>
              </m:sSubSup>
            </m:den>
          </m:f>
        </m:oMath>
      </m:oMathPara>
    </w:p>
    <w:p>
      <w:pPr>
        <w:pStyle w:val="FirstParagraph"/>
      </w:pPr>
      <w:r>
        <w:t xml:space="preserve">The exponent x characterises the flow regime inside the emitter: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Emitter 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Orifice or nozzle, fully turbulent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0.6–0.7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Vortex and short-path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0.7–0.8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Long-path laminar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to 0.2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Pressure-compensating</w:t>
            </w:r>
          </w:p>
        </w:tc>
      </w:tr>
    </w:tbl>
    <w:p>
      <w:pPr>
        <w:pStyle w:val="BodyText"/>
      </w:pPr>
      <w:r>
        <w:t xml:space="preserve">Since Δq/q ≈ x·Δh/h, x is exactly the sensitivity of discharge to pressure variation. A 20 % head</w:t>
      </w:r>
      <w:r>
        <w:t xml:space="preserve"> </w:t>
      </w:r>
      <w:r>
        <w:t xml:space="preserve">variation gives 10 % discharge variation at x = 0.5, but only about 2 % at x = 0.1.</w:t>
      </w:r>
    </w:p>
    <w:bookmarkEnd w:id="31"/>
    <w:bookmarkStart w:id="32" w:name="emission-uniformity"/>
    <w:p>
      <w:pPr>
        <w:pStyle w:val="Heading3"/>
      </w:pPr>
      <w:r>
        <w:rPr>
          <w:rStyle w:val="SectionNumber"/>
        </w:rPr>
        <w:t xml:space="preserve">0.3.2</w:t>
      </w:r>
      <w:r>
        <w:tab/>
      </w:r>
      <w:r>
        <w:t xml:space="preserve">3.2 Emission uniformity</w:t>
      </w:r>
    </w:p>
    <w:p>
      <w:pPr>
        <w:pStyle w:val="FirstParagraph"/>
      </w:pPr>
      <w:r>
        <w:t xml:space="preserve">Keller &amp; Karmeli (1974), as adopted in ASABE EP405: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t>U</m:t>
          </m:r>
          <m:r>
            <m:rPr>
              <m:sty m:val="p"/>
            </m:rPr>
            <m:t>=</m:t>
          </m:r>
          <m:r>
            <m:t>100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1.27</m:t>
                  </m:r>
                  <m:r>
                    <m:t> </m:t>
                  </m:r>
                  <m:r>
                    <m:t>C</m:t>
                  </m:r>
                  <m:r>
                    <m:t>V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</m:e>
                  </m:rad>
                </m:den>
              </m:f>
            </m:e>
          </m:d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num>
            <m:den>
              <m:acc>
                <m:accPr>
                  <m:chr m:val="‾"/>
                </m:accPr>
                <m:e>
                  <m:r>
                    <m:t>q</m:t>
                  </m:r>
                </m:e>
              </m:acc>
            </m:den>
          </m:f>
        </m:oMath>
      </m:oMathPara>
    </w:p>
    <w:p>
      <w:pPr>
        <w:pStyle w:val="FirstParagraph"/>
      </w:pPr>
      <w:r>
        <w:t xml:space="preserve">The first bracket is the manufacturing contribution, reduced by averaging over n_e emitters per</w:t>
      </w:r>
      <w:r>
        <w:t xml:space="preserve"> </w:t>
      </w:r>
      <w:r>
        <w:t xml:space="preserve">plant. The ratio q_min/q̄ is the hydraulic contribution, obtained from the stepwise solution rather</w:t>
      </w:r>
      <w:r>
        <w:t xml:space="preserve"> </w:t>
      </w:r>
      <w:r>
        <w:t xml:space="preserve">than assumed.</w:t>
      </w:r>
    </w:p>
    <w:p>
      <w:pPr>
        <w:pStyle w:val="BodyText"/>
      </w:pPr>
      <w:r>
        <w:t xml:space="preserve">Two auxiliary indicators: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q</m:t>
          </m:r>
          <m:r>
            <m:rPr>
              <m:sty m:val="p"/>
            </m:rPr>
            <m:t>=</m:t>
          </m:r>
          <m:r>
            <m:t>100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num>
            <m:den>
              <m:acc>
                <m:accPr>
                  <m:chr m:val="‾"/>
                </m:accPr>
                <m:e>
                  <m:r>
                    <m:t>q</m:t>
                  </m:r>
                </m:e>
              </m:acc>
            </m:den>
          </m:f>
          <m:r>
            <m:rPr>
              <m:sty m:val="p"/>
            </m:rPr>
            <m:t>,</m:t>
          </m:r>
          <m:r>
            <m:t>  </m:t>
          </m:r>
          <m:r>
            <m:t>Δ</m:t>
          </m:r>
          <m:r>
            <m:t>h</m:t>
          </m:r>
          <m:r>
            <m:rPr>
              <m:sty m:val="p"/>
            </m:rPr>
            <m:t>=</m:t>
          </m:r>
          <m:r>
            <m:t>100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h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Design criteria:</w:t>
      </w:r>
      <w:r>
        <w:t xml:space="preserve"> </w:t>
      </w:r>
      <w:r>
        <w:t xml:space="preserve">EU ≥ 90 %, Δq ≤ 10 %, and Δh summed over lateral and manifold ≤ 20 % of hₙ.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pipe-flow-and-friction"/>
    <w:p>
      <w:pPr>
        <w:pStyle w:val="Heading2"/>
      </w:pPr>
      <w:r>
        <w:rPr>
          <w:rStyle w:val="SectionNumber"/>
        </w:rPr>
        <w:t xml:space="preserve">0.4</w:t>
      </w:r>
      <w:r>
        <w:tab/>
      </w:r>
      <w:r>
        <w:t xml:space="preserve">4. Pipe flow and friction</w:t>
      </w:r>
    </w:p>
    <w:p>
      <w:pPr>
        <w:pStyle w:val="FirstParagraph"/>
      </w:pPr>
      <w:r>
        <w:rPr>
          <w:iCs/>
          <w:i/>
        </w:rPr>
        <w:t xml:space="preserve">Implemented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frictionFactor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headLoss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velocity</w:t>
      </w:r>
      <w:r>
        <w:rPr>
          <w:iCs/>
          <w:i/>
        </w:rPr>
        <w:t xml:space="preserve">.</w:t>
      </w:r>
    </w:p>
    <w:bookmarkStart w:id="34" w:name="velocity-and-reynolds-number"/>
    <w:p>
      <w:pPr>
        <w:pStyle w:val="Heading3"/>
      </w:pPr>
      <w:r>
        <w:rPr>
          <w:rStyle w:val="SectionNumber"/>
        </w:rPr>
        <w:t xml:space="preserve">0.4.1</w:t>
      </w:r>
      <w:r>
        <w:tab/>
      </w:r>
      <w:r>
        <w:t xml:space="preserve">4.1 Velocity and Reynolds number</w:t>
      </w:r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t>Q</m:t>
              </m:r>
            </m:num>
            <m:den>
              <m:r>
                <m:t>π</m:t>
              </m:r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R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V</m:t>
              </m:r>
              <m:r>
                <m:t>D</m:t>
              </m:r>
            </m:num>
            <m:den>
              <m:r>
                <m:t>ν</m:t>
              </m:r>
            </m:den>
          </m:f>
        </m:oMath>
      </m:oMathPara>
    </w:p>
    <w:p>
      <w:pPr>
        <w:pStyle w:val="FirstParagraph"/>
      </w:pPr>
      <w:r>
        <w:t xml:space="preserve">with ν = 1.003 × 10⁻⁶ m² s⁻¹ (water at 20 °C).</w:t>
      </w:r>
    </w:p>
    <w:bookmarkEnd w:id="34"/>
    <w:bookmarkStart w:id="35" w:name="friction-factor-by-regime"/>
    <w:p>
      <w:pPr>
        <w:pStyle w:val="Heading3"/>
      </w:pPr>
      <w:r>
        <w:rPr>
          <w:rStyle w:val="SectionNumber"/>
        </w:rPr>
        <w:t xml:space="preserve">0.4.2</w:t>
      </w:r>
      <w:r>
        <w:tab/>
      </w:r>
      <w:r>
        <w:t xml:space="preserve">4.2 Friction factor, by regime</w:t>
      </w:r>
    </w:p>
    <w:p>
      <w:pPr>
        <w:pStyle w:val="FirstParagraph"/>
      </w:pPr>
      <w:r>
        <w:t xml:space="preserve">Drip laterals sit in the laminar-to-smooth-turbulent transition, so a single correlation will not</w:t>
      </w:r>
      <w:r>
        <w:t xml:space="preserve"> </w:t>
      </w:r>
      <w:r>
        <w:t xml:space="preserve">serve. Three regimes are switched: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64</m:t>
                        </m:r>
                      </m:num>
                      <m:den>
                        <m:r>
                          <m:t>R</m:t>
                        </m:r>
                        <m:r>
                          <m:t>e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R</m:t>
                    </m:r>
                    <m:r>
                      <m:t>e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2000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(Hagen–Poiseuille)</m:t>
                    </m:r>
                  </m:e>
                </m:mr>
                <m:mr>
                  <m:e>
                    <m:r>
                      <m:t>0.316</m:t>
                    </m:r>
                    <m:r>
                      <m:t> </m:t>
                    </m:r>
                    <m:r>
                      <m:t>R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0.25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2000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R</m:t>
                    </m:r>
                    <m:r>
                      <m:t>e</m:t>
                    </m:r>
                    <m:r>
                      <m:rPr>
                        <m:sty m:val="p"/>
                      </m:rPr>
                      <m:t>&lt;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5</m:t>
                        </m:r>
                      </m:sup>
                    </m:sSup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(Blasius)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0.25</m:t>
                        </m:r>
                      </m:num>
                      <m:den>
                        <m:sSup>
                          <m:e>
                            <m:d>
                              <m:dPr>
                                <m:begChr m:val="["/>
                                <m:endChr m:val="]"/>
                                <m:sepChr m:val="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rPr>
                                        <m:sty m:val="p"/>
                                      </m:rPr>
                                      <m:t>log</m:t>
                                    </m:r>
                                  </m:e>
                                  <m:sub>
                                    <m:r>
                                      <m:t>10</m:t>
                                    </m:r>
                                  </m:sub>
                                </m:sSub>
                                <m:r>
                                  <m:t>​</m:t>
                                </m:r>
                                <m:d>
                                  <m:dPr>
                                    <m:begChr m:val="("/>
                                    <m:endChr m:val=")"/>
                                    <m:sepChr m:val=""/>
                                    <m:grow/>
                                  </m:dPr>
                                  <m:e>
                                    <m:f>
                                      <m:fPr>
                                        <m:type m:val="bar"/>
                                      </m:fPr>
                                      <m:num>
                                        <m:r>
                                          <m:t>ε</m:t>
                                        </m:r>
                                      </m:num>
                                      <m:den>
                                        <m:r>
                                          <m:t>3.7</m:t>
                                        </m:r>
                                        <m:r>
                                          <m:t>D</m:t>
                                        </m:r>
                                      </m:den>
                                    </m:f>
                                    <m:r>
                                      <m:rPr>
                                        <m:sty m:val="p"/>
                                      </m:rPr>
                                      <m:t>+</m:t>
                                    </m:r>
                                    <m:f>
                                      <m:fPr>
                                        <m:type m:val="bar"/>
                                      </m:fPr>
                                      <m:num>
                                        <m:r>
                                          <m:t>5.74</m:t>
                                        </m:r>
                                      </m:num>
                                      <m:den>
                                        <m:r>
                                          <m:t>R</m:t>
                                        </m:r>
                                        <m:sSup>
                                          <m:e>
                                            <m:r>
                                              <m:t>e</m:t>
                                            </m:r>
                                          </m:e>
                                          <m:sup>
                                            <m:r>
                                              <m:t>0.9</m:t>
                                            </m:r>
                                          </m:sup>
                                        </m:sSup>
                                      </m:den>
                                    </m:f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R</m:t>
                    </m:r>
                    <m:r>
                      <m:t>e</m:t>
                    </m:r>
                    <m:r>
                      <m:rPr>
                        <m:sty m:val="p"/>
                      </m:rPr>
                      <m:t>≥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t>5</m:t>
                        </m:r>
                      </m:sup>
                    </m:sSup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(Swamee–Jain)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with ε = 1.5 × 10⁻⁶ m for PE and PVC.</w:t>
      </w:r>
    </w:p>
    <w:p>
      <w:pPr>
        <w:pStyle w:val="BodyText"/>
      </w:pPr>
      <w:r>
        <w:rPr>
          <w:bCs/>
          <w:b/>
        </w:rPr>
        <w:t xml:space="preserve">Why not Hazen–Williams.</w:t>
      </w:r>
      <w:r>
        <w:t xml:space="preserve"> </w:t>
      </w:r>
      <w:r>
        <w:t xml:space="preserve">The Hazen–Williams formula with C = 150 is calibrated for fully</w:t>
      </w:r>
      <w:r>
        <w:t xml:space="preserve"> </w:t>
      </w:r>
      <w:r>
        <w:t xml:space="preserve">turbulent flow in larger pipes. In 12–25 mm drip tubing at 0.3–1.5 m s⁻¹ the flow is often below</w:t>
      </w:r>
      <w:r>
        <w:t xml:space="preserve"> </w:t>
      </w:r>
      <w:r>
        <w:t xml:space="preserve">Re = 10⁴, where H–W is not valid and overestimates losses near the distal end.</w:t>
      </w:r>
    </w:p>
    <w:bookmarkEnd w:id="35"/>
    <w:bookmarkStart w:id="36" w:name="darcyweisbach"/>
    <w:p>
      <w:pPr>
        <w:pStyle w:val="Heading3"/>
      </w:pPr>
      <w:r>
        <w:rPr>
          <w:rStyle w:val="SectionNumber"/>
        </w:rPr>
        <w:t xml:space="preserve">0.4.3</w:t>
      </w:r>
      <w:r>
        <w:tab/>
      </w:r>
      <w:r>
        <w:t xml:space="preserve">4.3 Darcy–Weisbach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t> 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D</m:t>
              </m:r>
            </m:den>
          </m:f>
          <m:r>
            <m:t> </m:t>
          </m:r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g</m:t>
              </m:r>
            </m:den>
          </m:f>
        </m:oMath>
      </m:oMathPara>
    </w:p>
    <w:bookmarkEnd w:id="36"/>
    <w:bookmarkStart w:id="37" w:name="the-collapsed-microirrigation-form"/>
    <w:p>
      <w:pPr>
        <w:pStyle w:val="Heading3"/>
      </w:pPr>
      <w:r>
        <w:rPr>
          <w:rStyle w:val="SectionNumber"/>
        </w:rPr>
        <w:t xml:space="preserve">0.4.4</w:t>
      </w:r>
      <w:r>
        <w:tab/>
      </w:r>
      <w:r>
        <w:t xml:space="preserve">4.4 The collapsed microirrigation form</w:t>
      </w:r>
    </w:p>
    <w:p>
      <w:pPr>
        <w:pStyle w:val="FirstParagraph"/>
      </w:pPr>
      <w:r>
        <w:t xml:space="preserve">For reference only — the code uses the full switched form above. Substituting Blasius and</w:t>
      </w:r>
      <w:r>
        <w:t xml:space="preserve"> </w:t>
      </w:r>
      <w:r>
        <w:t xml:space="preserve">V = 4Q/(πD²) into Darcy–Weisbach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0.316</m:t>
              </m:r>
              <m:r>
                <m:rPr>
                  <m:sty m:val="p"/>
                </m:rPr>
                <m:t>×</m:t>
              </m:r>
              <m:r>
                <m:t>8</m:t>
              </m:r>
            </m:num>
            <m:den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g</m:t>
              </m:r>
            </m:den>
          </m:f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r>
                        <m:t>π</m:t>
                      </m:r>
                      <m:r>
                        <m:t>ν</m:t>
                      </m:r>
                    </m:den>
                  </m:f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0.25</m:t>
              </m:r>
            </m:sup>
          </m:sSup>
          <m:sSup>
            <m:e>
              <m:r>
                <m:t>Q</m:t>
              </m:r>
            </m:e>
            <m:sup>
              <m:r>
                <m:t>1.75</m:t>
              </m:r>
            </m:sup>
          </m:sSup>
          <m:sSup>
            <m:e>
              <m:r>
                <m:t>D</m:t>
              </m:r>
            </m:e>
            <m:sup>
              <m:r>
                <m:rPr>
                  <m:sty m:val="p"/>
                </m:rPr>
                <m:t>−</m:t>
              </m:r>
              <m:r>
                <m:t>4.75</m:t>
              </m:r>
            </m:sup>
          </m:sSup>
          <m:r>
            <m:t>L</m:t>
          </m:r>
          <m:r>
            <m:rPr>
              <m:sty m:val="p"/>
            </m:rPr>
            <m:t>=</m:t>
          </m:r>
          <m:r>
            <m:t>7.78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t> </m:t>
          </m:r>
          <m:sSup>
            <m:e>
              <m:r>
                <m:t>Q</m:t>
              </m:r>
            </m:e>
            <m:sup>
              <m:r>
                <m:t>1.75</m:t>
              </m:r>
            </m:sup>
          </m:sSup>
          <m:sSup>
            <m:e>
              <m:r>
                <m:t>D</m:t>
              </m:r>
            </m:e>
            <m:sup>
              <m:r>
                <m:rPr>
                  <m:sty m:val="p"/>
                </m:rPr>
                <m:t>−</m:t>
              </m:r>
              <m:r>
                <m:t>4.75</m:t>
              </m:r>
            </m:sup>
          </m:sSup>
          <m:r>
            <m:t>L</m:t>
          </m:r>
        </m:oMath>
      </m:oMathPara>
    </w:p>
    <w:p>
      <w:pPr>
        <w:pStyle w:val="FirstParagraph"/>
      </w:pPr>
      <w:r>
        <w:t xml:space="preserve">with Q in m³ s⁻¹, D in m, L and h_f in m, at 20 °C. This is the familiar h_f ∝ Q^1.75 D^-4.75 form</w:t>
      </w:r>
      <w:r>
        <w:t xml:space="preserve"> </w:t>
      </w:r>
      <w:r>
        <w:t xml:space="preserve">of microirrigation textbooks.</w:t>
      </w:r>
    </w:p>
    <w:bookmarkEnd w:id="37"/>
    <w:bookmarkStart w:id="38" w:name="local-losses-at-emitter-connections"/>
    <w:p>
      <w:pPr>
        <w:pStyle w:val="Heading3"/>
      </w:pPr>
      <w:r>
        <w:rPr>
          <w:rStyle w:val="SectionNumber"/>
        </w:rPr>
        <w:t xml:space="preserve">0.4.5</w:t>
      </w:r>
      <w:r>
        <w:tab/>
      </w:r>
      <w:r>
        <w:t xml:space="preserve">4.5 Local losses at emitter connections</w:t>
      </w:r>
    </w:p>
    <w:p>
      <w:pPr>
        <w:pStyle w:val="FirstParagraph"/>
      </w:pPr>
      <w:r>
        <w:t xml:space="preserve">In-line and on-line emitters obstruct the bore. Rather than an equivalent length per barb, a single</w:t>
      </w:r>
      <w:r>
        <w:t xml:space="preserve"> </w:t>
      </w:r>
      <w:r>
        <w:t xml:space="preserve">multiplier is applied to every lateral segment: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rPr>
                  <m:nor/>
                  <m:sty m:val="p"/>
                </m:rPr>
                <m:t>segment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l</m:t>
              </m:r>
            </m:sub>
          </m:sSub>
          <m:r>
            <m:t> </m:t>
          </m:r>
          <m:r>
            <m:t>f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D</m:t>
              </m:r>
            </m:den>
          </m:f>
          <m:r>
            <m:t> </m:t>
          </m:r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g</m:t>
              </m:r>
            </m:den>
          </m:f>
        </m:oMath>
      </m:oMathPara>
    </w:p>
    <w:p>
      <w:pPr>
        <w:pStyle w:val="FirstParagraph"/>
      </w:pPr>
      <w:r>
        <w:t xml:space="preserve">Typical k_l is 1.05 for thin-wall tape to 1.30 for bulky on-line emitters; the default is 1.10.</w:t>
      </w:r>
      <w:r>
        <w:t xml:space="preserve"> </w:t>
      </w:r>
      <w:r>
        <w:t xml:space="preserve">The manifold uses a fixed 1.03 for tees.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network-solution"/>
    <w:p>
      <w:pPr>
        <w:pStyle w:val="Heading2"/>
      </w:pPr>
      <w:r>
        <w:rPr>
          <w:rStyle w:val="SectionNumber"/>
        </w:rPr>
        <w:t xml:space="preserve">0.5</w:t>
      </w:r>
      <w:r>
        <w:tab/>
      </w:r>
      <w:r>
        <w:t xml:space="preserve">5. Network solution</w:t>
      </w:r>
    </w:p>
    <w:p>
      <w:pPr>
        <w:pStyle w:val="FirstParagraph"/>
      </w:pPr>
      <w:r>
        <w:rPr>
          <w:iCs/>
          <w:i/>
        </w:rPr>
        <w:t xml:space="preserve">Implemented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marchLateral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bisect</w:t>
      </w:r>
      <w:r>
        <w:rPr>
          <w:iCs/>
          <w:i/>
        </w:rPr>
        <w:t xml:space="preserve">, block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</w:t>
      </w:r>
      <w:r>
        <w:rPr>
          <w:iCs/>
          <w:i/>
        </w:rPr>
        <w:t xml:space="preserve">.</w:t>
      </w:r>
    </w:p>
    <w:bookmarkStart w:id="40" w:name="why-stepwise-rather-than-the-f-factor"/>
    <w:p>
      <w:pPr>
        <w:pStyle w:val="Heading3"/>
      </w:pPr>
      <w:r>
        <w:rPr>
          <w:rStyle w:val="SectionNumber"/>
        </w:rPr>
        <w:t xml:space="preserve">0.5.1</w:t>
      </w:r>
      <w:r>
        <w:tab/>
      </w:r>
      <w:r>
        <w:t xml:space="preserve">5.1 Why stepwise rather than the F factor</w:t>
      </w:r>
    </w:p>
    <w:p>
      <w:pPr>
        <w:pStyle w:val="FirstParagraph"/>
      </w:pPr>
      <w:r>
        <w:t xml:space="preserve">The classical approach applies the Christiansen reduction factor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N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</m:num>
            <m:den>
              <m:r>
                <m:t>6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to the head loss of a pipe carrying the full flow along its whole length. This assumes every outlet</w:t>
      </w:r>
      <w:r>
        <w:t xml:space="preserve"> </w:t>
      </w:r>
      <w:r>
        <w:t xml:space="preserve">discharges equally — which is precisely what is being solved for. Because q depends on h and h</w:t>
      </w:r>
      <w:r>
        <w:t xml:space="preserve"> </w:t>
      </w:r>
      <w:r>
        <w:t xml:space="preserve">depends on the accumulated q, the problem is coupled, and F is a first approximation to its</w:t>
      </w:r>
      <w:r>
        <w:t xml:space="preserve"> </w:t>
      </w:r>
      <w:r>
        <w:t xml:space="preserve">solution.</w:t>
      </w:r>
    </w:p>
    <w:p>
      <w:pPr>
        <w:pStyle w:val="BodyText"/>
      </w:pPr>
      <w:r>
        <w:t xml:space="preserve">The Workbench solves the coupling directly. F is not used anywhere in the code; if you wish to</w:t>
      </w:r>
      <w:r>
        <w:t xml:space="preserve"> </w:t>
      </w:r>
      <w:r>
        <w:t xml:space="preserve">compare, the classical inlet-head estimate h_in ≈ h_a + ¾h_f + ½Δz becomes a check rather than the</w:t>
      </w:r>
      <w:r>
        <w:t xml:space="preserve"> </w:t>
      </w:r>
      <w:r>
        <w:t xml:space="preserve">design method.</w:t>
      </w:r>
    </w:p>
    <w:bookmarkEnd w:id="40"/>
    <w:bookmarkStart w:id="41" w:name="the-upstream-march"/>
    <w:p>
      <w:pPr>
        <w:pStyle w:val="Heading3"/>
      </w:pPr>
      <w:r>
        <w:rPr>
          <w:rStyle w:val="SectionNumber"/>
        </w:rPr>
        <w:t xml:space="preserve">0.5.2</w:t>
      </w:r>
      <w:r>
        <w:tab/>
      </w:r>
      <w:r>
        <w:t xml:space="preserve">5.2 The upstream march</w:t>
      </w:r>
    </w:p>
    <w:p>
      <w:pPr>
        <w:pStyle w:val="FirstParagraph"/>
      </w:pPr>
      <w:r>
        <w:t xml:space="preserve">Number emitters 1 (nearest the inlet) to N (distal), spaced Sₑ apart, with one further segment of</w:t>
      </w:r>
      <w:r>
        <w:t xml:space="preserve"> </w:t>
      </w:r>
      <w:r>
        <w:t xml:space="preserve">length Sₑ between emitter 1 and the lateral inlet. Given a trial head h_N at the distal emitter,</w:t>
      </w:r>
      <w:r>
        <w:t xml:space="preserve"> </w:t>
      </w:r>
      <w:r>
        <w:t xml:space="preserve">march upstream. For i = N, N−1, …, 1: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k</m:t>
          </m:r>
          <m:r>
            <m:t> </m:t>
          </m:r>
          <m:sSubSup>
            <m:e>
              <m:r>
                <m:t>h</m:t>
              </m:r>
            </m:e>
            <m:sub>
              <m:r>
                <m:t>i</m:t>
              </m:r>
            </m:sub>
            <m:sup>
              <m:r>
                <m:t> </m:t>
              </m:r>
              <m:r>
                <m:t>x</m:t>
              </m:r>
            </m:sup>
          </m:sSubSup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  <m:r>
                <m:rPr>
                  <m:sty m:val="p"/>
                </m:rPr>
                <m:t>≥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j</m:t>
                  </m:r>
                </m:sub>
              </m:sSub>
            </m:e>
          </m:nary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l</m:t>
              </m:r>
            </m:sub>
          </m:sSub>
          <m:r>
            <m:t> </m:t>
          </m:r>
          <m:sSub>
            <m:e>
              <m:r>
                <m:t>h</m:t>
              </m:r>
            </m:e>
            <m:sub>
              <m:r>
                <m:t>f</m:t>
              </m:r>
            </m:sub>
          </m:sSub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D</m:t>
              </m:r>
              <m:r>
                <m:rPr>
                  <m:sty m:val="p"/>
                </m:rPr>
                <m:t>,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</m:sub>
              </m:sSub>
            </m:e>
          </m:d>
          <m:r>
            <m:rPr>
              <m:sty m:val="p"/>
            </m:rPr>
            <m:t>−</m:t>
          </m:r>
          <m:sSub>
            <m:e>
              <m:r>
                <m:t>S</m:t>
              </m:r>
            </m:e>
            <m:sub>
              <m:r>
                <m:t>e</m:t>
              </m:r>
            </m:sub>
          </m:sSub>
          <m:sSub>
            <m:e>
              <m:r>
                <m:t>S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with a floor of h ≥ 0.05 m to keep the iteration stable. The sign convention is that S₀ is positive</w:t>
      </w:r>
      <w:r>
        <w:t xml:space="preserve"> </w:t>
      </w:r>
      <w:r>
        <w:t xml:space="preserve">downhill in the direction of flow, so a downhill lateral</w:t>
      </w:r>
      <w:r>
        <w:t xml:space="preserve"> </w:t>
      </w:r>
      <w:r>
        <w:rPr>
          <w:iCs/>
          <w:i/>
        </w:rPr>
        <w:t xml:space="preserve">reduces</w:t>
      </w:r>
      <w:r>
        <w:t xml:space="preserve"> </w:t>
      </w:r>
      <w:r>
        <w:t xml:space="preserve">the required inlet head.</w:t>
      </w:r>
    </w:p>
    <w:p>
      <w:pPr>
        <w:pStyle w:val="BodyText"/>
      </w:pPr>
      <w:r>
        <w:t xml:space="preserve">After emitter 1, one more segment gives the lateral inlet head h_in and the lateral discharge</w:t>
      </w:r>
      <w:r>
        <w:t xml:space="preserve"> </w:t>
      </w:r>
      <w:r>
        <w:t xml:space="preserve">Q_lat = Q₁.</w:t>
      </w:r>
    </w:p>
    <w:bookmarkEnd w:id="41"/>
    <w:bookmarkStart w:id="42" w:name="closure-by-bisection"/>
    <w:p>
      <w:pPr>
        <w:pStyle w:val="Heading3"/>
      </w:pPr>
      <w:r>
        <w:rPr>
          <w:rStyle w:val="SectionNumber"/>
        </w:rPr>
        <w:t xml:space="preserve">0.5.3</w:t>
      </w:r>
      <w:r>
        <w:tab/>
      </w:r>
      <w:r>
        <w:t xml:space="preserve">5.3 Closure by bisection</w:t>
      </w:r>
    </w:p>
    <w:p>
      <w:pPr>
        <w:pStyle w:val="FirstParagraph"/>
      </w:pPr>
      <w:r>
        <w:t xml:space="preserve">The march requires h_N, which is unknown. The physical condition imposed is that the</w:t>
      </w:r>
      <w:r>
        <w:t xml:space="preserve"> </w:t>
      </w:r>
      <w:r>
        <w:rPr>
          <w:bCs/>
          <w:b/>
        </w:rPr>
        <w:t xml:space="preserve">mean emitter</w:t>
      </w:r>
      <w:r>
        <w:rPr>
          <w:bCs/>
          <w:b/>
        </w:rPr>
        <w:t xml:space="preserve"> </w:t>
      </w:r>
      <w:r>
        <w:rPr>
          <w:bCs/>
          <w:b/>
        </w:rPr>
        <w:t xml:space="preserve">discharge equals the nominal discharge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q</m:t>
              </m:r>
            </m:e>
          </m:acc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q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sty m:val="p"/>
                </m:rPr>
                <m:t>!</m:t>
              </m:r>
            </m:lim>
          </m:limUpp>
          <m:r>
            <m:t> </m:t>
          </m:r>
          <m:sSub>
            <m:e>
              <m:r>
                <m:t>q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q̄ is monotonically increasing in h_N, so bisection converges reliably. Seventy iterations on the</w:t>
      </w:r>
      <w:r>
        <w:t xml:space="preserve"> </w:t>
      </w:r>
      <w:r>
        <w:t xml:space="preserve">bracket [0.05, 400] m reduce the interval to about 3 × 10⁻¹⁹ m — far beyond any physical need, but</w:t>
      </w:r>
      <w:r>
        <w:t xml:space="preserve"> </w:t>
      </w:r>
      <w:r>
        <w:t xml:space="preserve">the cost is negligible.</w:t>
      </w:r>
    </w:p>
    <w:p>
      <w:pPr>
        <w:pStyle w:val="BodyText"/>
      </w:pPr>
      <w:r>
        <w:t xml:space="preserve">Choosing q̄ = qₙ as the closure means the block delivers its design flow rate; the pressures then</w:t>
      </w:r>
      <w:r>
        <w:t xml:space="preserve"> </w:t>
      </w:r>
      <w:r>
        <w:t xml:space="preserve">follow. The alternative closure, h̄ = hₙ, is equally valid and gives a slightly different inlet head.</w:t>
      </w:r>
    </w:p>
    <w:bookmarkEnd w:id="42"/>
    <w:bookmarkStart w:id="43" w:name="the-lateral-as-an-equivalent-emitter"/>
    <w:p>
      <w:pPr>
        <w:pStyle w:val="Heading3"/>
      </w:pPr>
      <w:r>
        <w:rPr>
          <w:rStyle w:val="SectionNumber"/>
        </w:rPr>
        <w:t xml:space="preserve">0.5.4</w:t>
      </w:r>
      <w:r>
        <w:tab/>
      </w:r>
      <w:r>
        <w:t xml:space="preserve">5.4 The lateral as an equivalent emitter</w:t>
      </w:r>
    </w:p>
    <w:p>
      <w:pPr>
        <w:pStyle w:val="FirstParagraph"/>
      </w:pPr>
      <w:r>
        <w:t xml:space="preserve">The manifold sees each lateral as an outlet whose discharge depends on its inlet head. Rather than</w:t>
      </w:r>
      <w:r>
        <w:t xml:space="preserve"> </w:t>
      </w:r>
      <w:r>
        <w:t xml:space="preserve">nesting the lateral solve inside every manifold step, the lateral is fitted to a power law of the</w:t>
      </w:r>
      <w:r>
        <w:t xml:space="preserve"> </w:t>
      </w:r>
      <w:r>
        <w:t xml:space="preserve">same form as an emitter: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l</m:t>
              </m:r>
              <m:r>
                <m:t>a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l</m:t>
              </m:r>
            </m:sub>
          </m:sSub>
          <m:r>
            <m:t> </m:t>
          </m:r>
          <m:sSup>
            <m:e>
              <m:r>
                <m:t>h</m:t>
              </m:r>
            </m:e>
            <m:sup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l</m:t>
                  </m:r>
                </m:sub>
              </m:sSub>
            </m:sup>
          </m:sSup>
        </m:oMath>
      </m:oMathPara>
    </w:p>
    <w:p>
      <w:pPr>
        <w:pStyle w:val="FirstParagraph"/>
      </w:pPr>
      <w:r>
        <w:t xml:space="preserve">Two solves suffice. Let (h₁, Q₁) be the design solution and (h₂, Q₂) the solution at</w:t>
      </w:r>
      <w:r>
        <w:t xml:space="preserve"> </w:t>
      </w:r>
      <w:r>
        <w:t xml:space="preserve">h₂ = 1.25 h₁.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num>
            <m:den>
              <m:r>
                <m:rPr>
                  <m:sty m:val="p"/>
                </m:rPr>
                <m:t>ln</m:t>
              </m:r>
              <m:r>
                <m:t>1.25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1</m:t>
                  </m:r>
                </m:sub>
              </m:sSub>
            </m:num>
            <m:den>
              <m:sSubSup>
                <m:e>
                  <m:r>
                    <m:t>h</m:t>
                  </m:r>
                </m:e>
                <m:sub>
                  <m:r>
                    <m:t>1</m:t>
                  </m:r>
                </m:sub>
                <m:sup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</m:den>
          </m:f>
        </m:oMath>
      </m:oMathPara>
    </w:p>
    <w:p>
      <w:pPr>
        <w:pStyle w:val="FirstParagraph"/>
      </w:pPr>
      <w:r>
        <w:t xml:space="preserve">For the reference case x_l = 0.509 — slightly above the emitter exponent of 0.5, because friction</w:t>
      </w:r>
      <w:r>
        <w:t xml:space="preserve"> </w:t>
      </w:r>
      <w:r>
        <w:t xml:space="preserve">along the lateral adds a small additional pressure sensitivity.</w:t>
      </w:r>
    </w:p>
    <w:bookmarkEnd w:id="43"/>
    <w:bookmarkStart w:id="44" w:name="manifold-and-mainline"/>
    <w:p>
      <w:pPr>
        <w:pStyle w:val="Heading3"/>
      </w:pPr>
      <w:r>
        <w:rPr>
          <w:rStyle w:val="SectionNumber"/>
        </w:rPr>
        <w:t xml:space="preserve">0.5.5</w:t>
      </w:r>
      <w:r>
        <w:tab/>
      </w:r>
      <w:r>
        <w:t xml:space="preserve">5.5 Manifold and mainline</w:t>
      </w:r>
    </w:p>
    <w:p>
      <w:pPr>
        <w:pStyle w:val="FirstParagraph"/>
      </w:pPr>
      <w:r>
        <w:t xml:space="preserve">The manifold is solved by the identical march, with:</w:t>
      </w:r>
    </w:p>
    <w:p>
      <w:pPr>
        <w:numPr>
          <w:ilvl w:val="0"/>
          <w:numId w:val="1001"/>
        </w:numPr>
        <w:pStyle w:val="Compact"/>
      </w:pPr>
      <w:r>
        <w:t xml:space="preserve">outlet spacing = row spacing Sr,</w:t>
      </w:r>
    </w:p>
    <w:p>
      <w:pPr>
        <w:numPr>
          <w:ilvl w:val="0"/>
          <w:numId w:val="1001"/>
        </w:numPr>
        <w:pStyle w:val="Compact"/>
      </w:pPr>
      <w:r>
        <w:t xml:space="preserve">outlet discharge law Q = (K_l · n_sides) h^x_l, where n_sides is 2 when laterals run both ways,</w:t>
      </w:r>
    </w:p>
    <w:p>
      <w:pPr>
        <w:numPr>
          <w:ilvl w:val="0"/>
          <w:numId w:val="1001"/>
        </w:numPr>
        <w:pStyle w:val="Compact"/>
      </w:pPr>
      <w:r>
        <w:t xml:space="preserve">number of outlets N_m = N_lat / n_sides,</w:t>
      </w:r>
    </w:p>
    <w:p>
      <w:pPr>
        <w:numPr>
          <w:ilvl w:val="0"/>
          <w:numId w:val="1001"/>
        </w:numPr>
        <w:pStyle w:val="Compact"/>
      </w:pPr>
      <w:r>
        <w:t xml:space="preserve">local loss multiplier 1.03.</w:t>
      </w:r>
    </w:p>
    <w:p>
      <w:pPr>
        <w:pStyle w:val="FirstParagraph"/>
      </w:pPr>
      <w:r>
        <w:t xml:space="preserve">The mainline carries the whole block flow in a single reach, so a direct Darcy–Weisbach evaluation</w:t>
      </w:r>
      <w:r>
        <w:t xml:space="preserve"> </w:t>
      </w:r>
      <w:r>
        <w:t xml:space="preserve">suffices: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s</m:t>
              </m:r>
              <m:r>
                <m:t>y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m</m:t>
              </m:r>
              <m:r>
                <m:t>a</m:t>
              </m:r>
              <m:r>
                <m:t>n</m:t>
              </m:r>
            </m:sub>
          </m:sSub>
          <m:r>
            <m:rPr>
              <m:sty m:val="p"/>
            </m:rPr>
            <m:t>×</m:t>
          </m:r>
          <m:sSub>
            <m:e>
              <m:r>
                <m:t>n</m:t>
              </m:r>
            </m:e>
            <m:sub>
              <m:r>
                <m:t>b</m:t>
              </m:r>
              <m:r>
                <m:t>l</m:t>
              </m:r>
              <m:r>
                <m:t>o</m:t>
              </m:r>
              <m:r>
                <m:t>c</m:t>
              </m:r>
              <m:r>
                <m:t>k</m:t>
              </m:r>
              <m:r>
                <m:t>s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t>i</m:t>
              </m:r>
              <m:r>
                <m:t>m</m:t>
              </m:r>
              <m:r>
                <m:t>u</m:t>
              </m:r>
              <m:r>
                <m:t>l</m:t>
              </m:r>
              <m:r>
                <m:t>t</m:t>
              </m:r>
              <m:r>
                <m:t>a</m:t>
              </m:r>
              <m:r>
                <m:t>n</m:t>
              </m:r>
              <m:r>
                <m:t>e</m:t>
              </m:r>
              <m:r>
                <m:t>o</m:t>
              </m:r>
              <m:r>
                <m:t>u</m:t>
              </m:r>
              <m:r>
                <m:t>s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f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a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t>f</m:t>
          </m:r>
          <m:f>
            <m:fPr>
              <m:type m:val="bar"/>
            </m:fPr>
            <m:num>
              <m:r>
                <m:t>L</m:t>
              </m:r>
            </m:num>
            <m:den>
              <m:r>
                <m:t>D</m:t>
              </m:r>
            </m:den>
          </m:f>
          <m:f>
            <m:fPr>
              <m:type m:val="bar"/>
            </m:fPr>
            <m:num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g</m:t>
              </m:r>
            </m:den>
          </m:f>
        </m:oMath>
      </m:oMathPara>
    </w:p>
    <w:bookmarkEnd w:id="44"/>
    <w:bookmarkStart w:id="45" w:name="velocity-limits"/>
    <w:p>
      <w:pPr>
        <w:pStyle w:val="Heading3"/>
      </w:pPr>
      <w:r>
        <w:rPr>
          <w:rStyle w:val="SectionNumber"/>
        </w:rPr>
        <w:t xml:space="preserve">0.5.6</w:t>
      </w:r>
      <w:r>
        <w:tab/>
      </w:r>
      <w:r>
        <w:t xml:space="preserve">5.6 Velocity limits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1.5 m s⁻¹ preferred, 2.0 absolute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Manifold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2.0 m s⁻¹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2.0 m s⁻¹</w:t>
            </w:r>
          </w:p>
        </w:tc>
      </w:tr>
    </w:tbl>
    <w:p>
      <w:pPr>
        <w:pStyle w:val="BodyText"/>
      </w:pPr>
      <w:r>
        <w:t xml:space="preserve">Above about 2 m s⁻¹ water-hammer risk and friction cost both rise steeply.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pump-and-total-dynamic-head"/>
    <w:p>
      <w:pPr>
        <w:pStyle w:val="Heading2"/>
      </w:pPr>
      <w:r>
        <w:rPr>
          <w:rStyle w:val="SectionNumber"/>
        </w:rPr>
        <w:t xml:space="preserve">0.6</w:t>
      </w:r>
      <w:r>
        <w:tab/>
      </w:r>
      <w:r>
        <w:t xml:space="preserve">6. Pump and total dynamic head</w:t>
      </w:r>
    </w:p>
    <w:p>
      <w:pPr>
        <w:pStyle w:val="FirstParagraph"/>
      </w:pPr>
      <w:r>
        <w:rPr>
          <w:iCs/>
          <w:i/>
        </w:rPr>
        <w:t xml:space="preserve">Implemented in block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H</w:t>
      </w:r>
      <w:r>
        <w:rPr>
          <w:iCs/>
          <w:i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D</m:t>
          </m:r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i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Δ</m:t>
              </m:r>
              <m:sSub>
                <m:e>
                  <m:r>
                    <m:t>z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a</m:t>
                  </m:r>
                  <m:r>
                    <m:t>t</m:t>
                  </m:r>
                  <m:r>
                    <m:t>i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h</m:t>
                  </m:r>
                </m:e>
                <m:sub>
                  <m:r>
                    <m:t>f</m:t>
                  </m:r>
                  <m:r>
                    <m:t>i</m:t>
                  </m:r>
                  <m:r>
                    <m:t>l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</m:sub>
              </m:sSub>
            </m:e>
          </m:d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fittings %</m:t>
                  </m:r>
                </m:num>
                <m:den>
                  <m:r>
                    <m:t>100</m:t>
                  </m:r>
                </m:den>
              </m:f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h_in,man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Manifold inlet head from the network solve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h_f,main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Mainline friction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Δz_static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Elevation from source to manifold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 plus fertigation injector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 clean, 7 m dirty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fittings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Valves, bends, tees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10 %</w:t>
            </w:r>
          </w:p>
        </w:tc>
      </w:tr>
    </w:tbl>
    <w:p>
      <w:pPr>
        <w:pStyle w:val="BodyText"/>
      </w:pPr>
      <w:r>
        <w:t xml:space="preserve">Shaft power: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ρ</m:t>
              </m:r>
              <m:r>
                <m:t>g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s</m:t>
                  </m:r>
                  <m:r>
                    <m:t>y</m:t>
                  </m:r>
                  <m:r>
                    <m:t>s</m:t>
                  </m:r>
                </m:sub>
              </m:sSub>
              <m:r>
                <m:t> </m:t>
              </m:r>
              <m:r>
                <m:t>T</m:t>
              </m:r>
              <m:r>
                <m:t>D</m:t>
              </m:r>
              <m:r>
                <m:t>H</m:t>
              </m:r>
            </m:num>
            <m:den>
              <m:r>
                <m:t>η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9.81</m:t>
              </m:r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s</m:t>
                  </m:r>
                  <m:r>
                    <m:t>y</m:t>
                  </m:r>
                  <m:r>
                    <m:t>s</m:t>
                  </m:r>
                </m:sub>
              </m:sSub>
              <m:r>
                <m:t> </m:t>
              </m:r>
              <m:r>
                <m:t>T</m:t>
              </m:r>
              <m:r>
                <m:t>D</m:t>
              </m:r>
              <m:r>
                <m:t>H</m:t>
              </m:r>
            </m:num>
            <m:den>
              <m:r>
                <m:t>η</m:t>
              </m:r>
            </m:den>
          </m:f>
          <m:r>
            <m:t> </m:t>
          </m:r>
          <m:r>
            <m:t> 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W</m:t>
              </m:r>
            </m:e>
          </m:d>
        </m:oMath>
      </m:oMathPara>
    </w:p>
    <w:p>
      <w:pPr>
        <w:pStyle w:val="FirstParagraph"/>
      </w:pPr>
      <w:r>
        <w:t xml:space="preserve">with Q_sys in m³ s⁻¹, TDH in m, and η the wire-to-water efficiency as a fraction. The constant 9.81</w:t>
      </w:r>
      <w:r>
        <w:t xml:space="preserve"> </w:t>
      </w:r>
      <w:r>
        <w:t xml:space="preserve">already carries the kN m⁻³ unit weight of water, so the result is kilowatts directly.</w:t>
      </w:r>
    </w:p>
    <w:p>
      <w:r>
        <w:pict>
          <v:rect style="width:0;height:1.5pt" o:hralign="center" o:hrstd="t" o:hr="t"/>
        </w:pict>
      </w:r>
    </w:p>
    <w:bookmarkEnd w:id="47"/>
    <w:bookmarkStart w:id="53" w:name="crop-water-demand"/>
    <w:p>
      <w:pPr>
        <w:pStyle w:val="Heading2"/>
      </w:pPr>
      <w:r>
        <w:rPr>
          <w:rStyle w:val="SectionNumber"/>
        </w:rPr>
        <w:t xml:space="preserve">0.7</w:t>
      </w:r>
      <w:r>
        <w:tab/>
      </w:r>
      <w:r>
        <w:t xml:space="preserve">7. Crop water demand</w:t>
      </w:r>
    </w:p>
    <w:p>
      <w:pPr>
        <w:pStyle w:val="FirstParagraph"/>
      </w:pPr>
      <w:r>
        <w:rPr>
          <w:iCs/>
          <w:i/>
        </w:rPr>
        <w:t xml:space="preserve">Implemented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monthlyToDaily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kcAt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zrAt</w:t>
      </w:r>
      <w:r>
        <w:rPr>
          <w:iCs/>
          <w:i/>
        </w:rPr>
        <w:t xml:space="preserve">,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parseSeries</w:t>
      </w:r>
      <w:r>
        <w:rPr>
          <w:iCs/>
          <w:i/>
        </w:rPr>
        <w:t xml:space="preserve">, block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SCH</w:t>
      </w:r>
      <w:r>
        <w:rPr>
          <w:iCs/>
          <w:i/>
        </w:rPr>
        <w:t xml:space="preserve">.</w:t>
      </w:r>
    </w:p>
    <w:bookmarkStart w:id="48" w:name="three-input-routes"/>
    <w:p>
      <w:pPr>
        <w:pStyle w:val="Heading3"/>
      </w:pPr>
      <w:r>
        <w:rPr>
          <w:rStyle w:val="SectionNumber"/>
        </w:rPr>
        <w:t xml:space="preserve">0.7.1</w:t>
      </w:r>
      <w:r>
        <w:tab/>
      </w:r>
      <w:r>
        <w:t xml:space="preserve">7.1 Three input routes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Formula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Monthly ET₀ × Kc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ETc(t) = ET₀_interp(DOY) × Kc(t)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Pasted daily ET₀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ETc(t) = ET₀(t) × Kc(t)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Pasted daily ETc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ETc(t) used directly</w:t>
            </w:r>
          </w:p>
        </w:tc>
      </w:tr>
    </w:tbl>
    <w:bookmarkEnd w:id="48"/>
    <w:bookmarkStart w:id="49" w:name="monthly-to-daily-interpolation"/>
    <w:p>
      <w:pPr>
        <w:pStyle w:val="Heading3"/>
      </w:pPr>
      <w:r>
        <w:rPr>
          <w:rStyle w:val="SectionNumber"/>
        </w:rPr>
        <w:t xml:space="preserve">0.7.2</w:t>
      </w:r>
      <w:r>
        <w:tab/>
      </w:r>
      <w:r>
        <w:t xml:space="preserve">7.2 Monthly to daily interpolation</w:t>
      </w:r>
    </w:p>
    <w:p>
      <w:pPr>
        <w:pStyle w:val="FirstParagraph"/>
      </w:pPr>
      <w:r>
        <w:t xml:space="preserve">Each monthly mean is assigned to the mid-day of its month, using the day-of-year values</w:t>
      </w:r>
      <w:r>
        <w:t xml:space="preserve"> </w:t>
      </w:r>
      <w:r>
        <w:t xml:space="preserve">15, 45, 74, 105, 135, 166, 196, 227, 258, 288, 319, 349. Between consecutive mid-days the value is</w:t>
      </w:r>
      <w:r>
        <w:t xml:space="preserve"> </w:t>
      </w:r>
      <w:r>
        <w:t xml:space="preserve">linearly interpolated: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</m:e>
          </m:d>
          <m:r>
            <m:rPr>
              <m:sty m:val="p"/>
            </m:rPr>
            <m:t>=</m:t>
          </m:r>
          <m:r>
            <m:t>E</m:t>
          </m:r>
          <m:sSub>
            <m:e>
              <m:r>
                <m:t>T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i</m:t>
                  </m:r>
                </m:e>
                <m:sub>
                  <m:r>
                    <m:t>0</m:t>
                  </m:r>
                </m:sub>
              </m:sSub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d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−</m:t>
              </m:r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</m:sSub>
            </m:e>
          </m:d>
        </m:oMath>
      </m:oMathPara>
    </w:p>
    <w:p>
      <w:pPr>
        <w:pStyle w:val="FirstParagraph"/>
      </w:pPr>
      <w:r>
        <w:t xml:space="preserve">with wrap-around at the December–January boundary handled by offsetting d₀ or d₁ by 365 days.</w:t>
      </w:r>
    </w:p>
    <w:bookmarkEnd w:id="49"/>
    <w:bookmarkStart w:id="50" w:name="fao-56-crop-coefficient-curve"/>
    <w:p>
      <w:pPr>
        <w:pStyle w:val="Heading3"/>
      </w:pPr>
      <w:r>
        <w:rPr>
          <w:rStyle w:val="SectionNumber"/>
        </w:rPr>
        <w:t xml:space="preserve">0.7.3</w:t>
      </w:r>
      <w:r>
        <w:tab/>
      </w:r>
      <w:r>
        <w:t xml:space="preserve">7.3 FAO-56 crop coefficient curve</w:t>
      </w:r>
    </w:p>
    <w:p>
      <w:pPr>
        <w:pStyle w:val="FirstParagraph"/>
      </w:pPr>
      <w:r>
        <w:t xml:space="preserve">The four-stage piecewise curve of Allen et al. (1998), with t the days after planting: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c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  <m:r>
                          <m:t>n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  <m:r>
                          <m:t>i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i</m:t>
                        </m:r>
                        <m:r>
                          <m:t>n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  <m:r>
                              <m:t>i</m:t>
                            </m:r>
                            <m:r>
                              <m:t>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i</m:t>
                            </m:r>
                            <m:r>
                              <m:t>n</m:t>
                            </m:r>
                            <m:r>
                              <m:t>i</m:t>
                            </m:r>
                          </m:sub>
                        </m:sSub>
                      </m:e>
                    </m:d>
                    <m:f>
                      <m:fPr>
                        <m:type m:val="bar"/>
                      </m:fPr>
                      <m:num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n</m:t>
                            </m:r>
                            <m:r>
                              <m:t>i</m:t>
                            </m:r>
                          </m:sub>
                        </m:sSub>
                      </m:num>
                      <m:den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d</m:t>
                            </m:r>
                            <m:r>
                              <m:t>e</m:t>
                            </m:r>
                            <m:r>
                              <m:t>v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d</m:t>
                        </m:r>
                        <m:r>
                          <m:t>e</m:t>
                        </m:r>
                        <m:r>
                          <m:t>v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d</m:t>
                        </m:r>
                        <m:r>
                          <m:t>e</m:t>
                        </m:r>
                        <m:r>
                          <m:t>v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  <m:r>
                          <m:t>n</m:t>
                        </m:r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d</m:t>
                        </m:r>
                        <m:r>
                          <m:t>e</m:t>
                        </m:r>
                        <m:r>
                          <m:t>v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m</m:t>
                        </m:r>
                        <m:r>
                          <m:t>i</m:t>
                        </m:r>
                        <m:r>
                          <m:t>d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K</m:t>
                        </m:r>
                      </m:e>
                      <m:sub>
                        <m:r>
                          <m:t>c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m</m:t>
                        </m:r>
                        <m:r>
                          <m:t>i</m:t>
                        </m:r>
                        <m:r>
                          <m:t>d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e</m:t>
                            </m:r>
                            <m:r>
                              <m:t>n</m:t>
                            </m:r>
                            <m:r>
                              <m:t>d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K</m:t>
                            </m:r>
                          </m:e>
                          <m:sub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m</m:t>
                            </m:r>
                            <m:r>
                              <m:t>i</m:t>
                            </m:r>
                            <m:r>
                              <m:t>d</m:t>
                            </m:r>
                          </m:sub>
                        </m:sSub>
                      </m:e>
                    </m:d>
                    <m:f>
                      <m:fPr>
                        <m:type m:val="bar"/>
                      </m:fPr>
                      <m:num>
                        <m:r>
                          <m:t>t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∑</m:t>
                        </m:r>
                        <m:r>
                          <m:t>L</m:t>
                        </m:r>
                      </m:num>
                      <m:den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l</m:t>
                            </m:r>
                            <m:r>
                              <m:t>a</m:t>
                            </m:r>
                            <m:r>
                              <m:t>t</m:t>
                            </m:r>
                            <m:r>
                              <m:t>e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late stage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Season length is the sum of the four stage lengths.</w:t>
      </w:r>
    </w:p>
    <w:bookmarkEnd w:id="50"/>
    <w:bookmarkStart w:id="51" w:name="root-growth"/>
    <w:p>
      <w:pPr>
        <w:pStyle w:val="Heading3"/>
      </w:pPr>
      <w:r>
        <w:rPr>
          <w:rStyle w:val="SectionNumber"/>
        </w:rPr>
        <w:t xml:space="preserve">0.7.4</w:t>
      </w:r>
      <w:r>
        <w:tab/>
      </w:r>
      <w:r>
        <w:t xml:space="preserve">7.4 Root growth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r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Z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Z</m:t>
                  </m:r>
                </m:e>
                <m:sub>
                  <m:r>
                    <m:t>r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e>
          </m:d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  <m:r>
                        <m:t>n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d</m:t>
                      </m:r>
                      <m:r>
                        <m:t>e</m:t>
                      </m:r>
                      <m:r>
                        <m:t>v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t xml:space="preserve">Roots reach full depth at the end of the development stage. This is a common simplification; the</w:t>
      </w:r>
      <w:r>
        <w:t xml:space="preserve"> </w:t>
      </w:r>
      <w:r>
        <w:t xml:space="preserve">consequence in the balance is that TAW grows through the first half of the season, so event depths</w:t>
      </w:r>
      <w:r>
        <w:t xml:space="preserve"> </w:t>
      </w:r>
      <w:r>
        <w:t xml:space="preserve">increase while the interval stays roughly constant.</w:t>
      </w:r>
    </w:p>
    <w:bookmarkEnd w:id="51"/>
    <w:bookmarkStart w:id="52" w:name="demand-statistics"/>
    <w:p>
      <w:pPr>
        <w:pStyle w:val="Heading3"/>
      </w:pPr>
      <w:r>
        <w:rPr>
          <w:rStyle w:val="SectionNumber"/>
        </w:rPr>
        <w:t xml:space="preserve">0.7.5</w:t>
      </w:r>
      <w:r>
        <w:tab/>
      </w:r>
      <w:r>
        <w:t xml:space="preserve">7.5 Demand statistics</w:t>
      </w:r>
    </w:p>
    <w:p>
      <w:pPr>
        <w:pStyle w:val="FirstParagraph"/>
      </w:pPr>
      <w:r>
        <w:t xml:space="preserve">From the daily series, six summary values are computed: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Smallest ETc above 0.01 mm d⁻¹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Arithmetic mean over the season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7-day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of all 7-day running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Peak month 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of the calendar-month means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95th percentile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 statistic at rank 0.95(N−1)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single day</w:t>
            </w:r>
          </w:p>
        </w:tc>
      </w:tr>
    </w:tbl>
    <w:p>
      <w:pPr>
        <w:pStyle w:val="BodyText"/>
      </w:pPr>
      <w:r>
        <w:t xml:space="preserve">Any one may be selected as the</w:t>
      </w:r>
      <w:r>
        <w:t xml:space="preserve"> </w:t>
      </w:r>
      <w:r>
        <w:rPr>
          <w:bCs/>
          <w:b/>
        </w:rPr>
        <w:t xml:space="preserve">design ETc</w:t>
      </w:r>
      <w:r>
        <w:t xml:space="preserve">, or a manual value entered.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60" w:name="root-zone-water-balance-and-scheduling"/>
    <w:p>
      <w:pPr>
        <w:pStyle w:val="Heading2"/>
      </w:pPr>
      <w:r>
        <w:rPr>
          <w:rStyle w:val="SectionNumber"/>
        </w:rPr>
        <w:t xml:space="preserve">0.8</w:t>
      </w:r>
      <w:r>
        <w:tab/>
      </w:r>
      <w:r>
        <w:t xml:space="preserve">8. Root-zone water balance and scheduling</w:t>
      </w:r>
    </w:p>
    <w:p>
      <w:pPr>
        <w:pStyle w:val="FirstParagraph"/>
      </w:pPr>
      <w:r>
        <w:rPr>
          <w:iCs/>
          <w:i/>
        </w:rPr>
        <w:t xml:space="preserve">Implemented in block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SCH</w:t>
      </w:r>
      <w:r>
        <w:rPr>
          <w:iCs/>
          <w:i/>
        </w:rPr>
        <w:t xml:space="preserve">.</w:t>
      </w:r>
    </w:p>
    <w:bookmarkStart w:id="54" w:name="application-efficiency-and-rate"/>
    <w:p>
      <w:pPr>
        <w:pStyle w:val="Heading3"/>
      </w:pPr>
      <w:r>
        <w:rPr>
          <w:rStyle w:val="SectionNumber"/>
        </w:rPr>
        <w:t xml:space="preserve">0.8.1</w:t>
      </w:r>
      <w:r>
        <w:tab/>
      </w:r>
      <w:r>
        <w:t xml:space="preserve">8.1 Application efficiency and rate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r>
                <m:t>U</m:t>
              </m:r>
            </m:num>
            <m:den>
              <m:r>
                <m:t>100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L</m:t>
                  </m:r>
                  <m:r>
                    <m:t>R</m:t>
                  </m:r>
                </m:num>
                <m:den>
                  <m:r>
                    <m:t>100</m:t>
                  </m:r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e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e</m:t>
                  </m:r>
                </m:sub>
              </m:sSub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</m:den>
          </m:f>
          <m:r>
            <m:t>  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The application rate identity holds because 1 L h⁻¹ spread over 1 m² is exactly 1 mm h⁻¹.</w:t>
      </w:r>
    </w:p>
    <w:bookmarkEnd w:id="54"/>
    <w:bookmarkStart w:id="55" w:name="available-water"/>
    <w:p>
      <w:pPr>
        <w:pStyle w:val="Heading3"/>
      </w:pPr>
      <w:r>
        <w:rPr>
          <w:rStyle w:val="SectionNumber"/>
        </w:rPr>
        <w:t xml:space="preserve">0.8.2</w:t>
      </w:r>
      <w:r>
        <w:tab/>
      </w:r>
      <w:r>
        <w:t xml:space="preserve">8.2 Available water</w:t>
      </w:r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t>A</m:t>
          </m:r>
          <m:r>
            <m:t>W</m:t>
          </m:r>
          <m:r>
            <m:rPr>
              <m:sty m:val="p"/>
            </m:rPr>
            <m:t>=</m:t>
          </m:r>
          <m:r>
            <m:t>1000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F</m:t>
                  </m:r>
                  <m:r>
                    <m:t>C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W</m:t>
                  </m:r>
                  <m:r>
                    <m:t>P</m:t>
                  </m:r>
                </m:sub>
              </m:sSub>
            </m:e>
          </m:d>
          <m:sSub>
            <m:e>
              <m:r>
                <m:t>Z</m:t>
              </m:r>
            </m:e>
            <m:sub>
              <m:r>
                <m:t>r</m:t>
              </m:r>
            </m:sub>
          </m:sSub>
          <m:r>
            <m:t> </m:t>
          </m:r>
          <m:sSub>
            <m:e>
              <m:r>
                <m:t>f</m:t>
              </m:r>
            </m:e>
            <m:sub>
              <m:r>
                <m:t>w</m:t>
              </m:r>
            </m:sub>
          </m:sSub>
          <m:r>
            <m:t>  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m</m:t>
              </m:r>
            </m:e>
          </m:d>
        </m:oMath>
      </m:oMathPara>
    </w:p>
    <w:p>
      <w:pPr>
        <w:pStyle w:val="FirstParagraph"/>
      </w:pPr>
      <w:r>
        <w:t xml:space="preserve">FAO-56 Equation 82 gives TAW without f_w.</w:t>
      </w:r>
      <w:r>
        <w:t xml:space="preserve"> </w:t>
      </w:r>
      <w:r>
        <w:rPr>
          <w:bCs/>
          <w:b/>
        </w:rPr>
        <w:t xml:space="preserve">The multiplication by the managed wetted fraction is an</w:t>
      </w:r>
      <w:r>
        <w:rPr>
          <w:bCs/>
          <w:b/>
        </w:rPr>
        <w:t xml:space="preserve"> </w:t>
      </w:r>
      <w:r>
        <w:rPr>
          <w:bCs/>
          <w:b/>
        </w:rPr>
        <w:t xml:space="preserve">adaptation for localised irrigation, not a formula from FAO-56.</w:t>
      </w:r>
      <w:r>
        <w:t xml:space="preserve"> </w:t>
      </w:r>
      <w:r>
        <w:t xml:space="preserve">Under drip only part of the root</w:t>
      </w:r>
      <w:r>
        <w:t xml:space="preserve"> </w:t>
      </w:r>
      <w:r>
        <w:t xml:space="preserve">zone is wetted, so only that part constitutes a usable reservoir. f_w should be set to match the</w:t>
      </w:r>
      <w:r>
        <w:t xml:space="preserve"> </w:t>
      </w:r>
      <w:r>
        <w:t xml:space="preserve">wetted fraction P computed on the Wetting front tab.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A</m:t>
          </m:r>
          <m:r>
            <m:t>W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a</m:t>
              </m:r>
              <m:r>
                <m:t>d</m:t>
              </m:r>
              <m:r>
                <m:t>j</m:t>
              </m:r>
            </m:sub>
          </m:sSub>
          <m:r>
            <m:t> </m:t>
          </m:r>
          <m:r>
            <m:t>T</m:t>
          </m:r>
          <m:r>
            <m:t>A</m:t>
          </m:r>
          <m:r>
            <m:t>W</m:t>
          </m:r>
        </m:oMath>
      </m:oMathPara>
    </w:p>
    <w:bookmarkEnd w:id="55"/>
    <w:bookmarkStart w:id="56" w:name="depletion-fraction-adjustment"/>
    <w:p>
      <w:pPr>
        <w:pStyle w:val="Heading3"/>
      </w:pPr>
      <w:r>
        <w:rPr>
          <w:rStyle w:val="SectionNumber"/>
        </w:rPr>
        <w:t xml:space="preserve">0.8.3</w:t>
      </w:r>
      <w:r>
        <w:tab/>
      </w:r>
      <w:r>
        <w:t xml:space="preserve">8.3 Depletion fraction adjustment</w:t>
      </w:r>
    </w:p>
    <w:p>
      <w:pPr>
        <w:pStyle w:val="FirstParagraph"/>
      </w:pPr>
      <w:r>
        <w:t xml:space="preserve">FAO-56 Equation 83: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a</m:t>
              </m:r>
              <m:r>
                <m:t>d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p</m:t>
          </m:r>
          <m:r>
            <m:rPr>
              <m:sty m:val="p"/>
            </m:rPr>
            <m:t>+</m:t>
          </m:r>
          <m:r>
            <m:t>0.04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−</m:t>
              </m:r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0.1</m:t>
          </m:r>
          <m:r>
            <m:rPr>
              <m:sty m:val="p"/>
            </m:rPr>
            <m:t>≤</m:t>
          </m:r>
          <m:sSub>
            <m:e>
              <m:r>
                <m:t>p</m:t>
              </m:r>
            </m:e>
            <m:sub>
              <m:r>
                <m:t>a</m:t>
              </m:r>
              <m:r>
                <m:t>d</m:t>
              </m:r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0.8</m:t>
          </m:r>
        </m:oMath>
      </m:oMathPara>
    </w:p>
    <w:p>
      <w:pPr>
        <w:pStyle w:val="FirstParagraph"/>
      </w:pPr>
      <w:r>
        <w:t xml:space="preserve">The trigger tightens as evaporative demand rises: at ETc = 14 mm d⁻¹ the adjustment drives p to its</w:t>
      </w:r>
      <w:r>
        <w:t xml:space="preserve"> </w:t>
      </w:r>
      <w:r>
        <w:t xml:space="preserve">0.1 floor, so irrigation becomes daily. This is the mechanism that makes high-demand climates</w:t>
      </w:r>
      <w:r>
        <w:t xml:space="preserve"> </w:t>
      </w:r>
      <w:r>
        <w:t xml:space="preserve">irrigate frequently in small doses, and it has an important consequence for capacity — see</w:t>
      </w:r>
      <w:r>
        <w:t xml:space="preserve"> </w:t>
      </w:r>
      <w:r>
        <w:t xml:space="preserve">Section 8.6.</w:t>
      </w:r>
    </w:p>
    <w:bookmarkEnd w:id="56"/>
    <w:bookmarkStart w:id="57" w:name="deliverable-capacity"/>
    <w:p>
      <w:pPr>
        <w:pStyle w:val="Heading3"/>
      </w:pPr>
      <w:r>
        <w:rPr>
          <w:rStyle w:val="SectionNumber"/>
        </w:rPr>
        <w:t xml:space="preserve">0.8.4</w:t>
      </w:r>
      <w:r>
        <w:tab/>
      </w:r>
      <w:r>
        <w:t xml:space="preserve">8.4 Deliverable capacity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s</m:t>
              </m:r>
              <m:r>
                <m:t>h</m:t>
              </m:r>
              <m:r>
                <m:t>i</m:t>
              </m:r>
              <m:r>
                <m:t>f</m:t>
              </m:r>
              <m:r>
                <m:t>t</m:t>
              </m:r>
              <m:r>
                <m:t>s</m:t>
              </m:r>
            </m:sub>
          </m:sSub>
          <m:r>
            <m:rPr>
              <m:sty m:val="p"/>
            </m:rPr>
            <m:t>=</m:t>
          </m:r>
          <m:d>
            <m:dPr>
              <m:begChr m:val="⌈"/>
              <m:endChr m:val="⌉"/>
              <m:sepChr m:val="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t>b</m:t>
                      </m:r>
                      <m:r>
                        <m:t>l</m:t>
                      </m:r>
                      <m:r>
                        <m:t>o</m:t>
                      </m:r>
                      <m:r>
                        <m:t>c</m:t>
                      </m:r>
                      <m:r>
                        <m:t>k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t</m:t>
                      </m:r>
                      <m:r>
                        <m:t>o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l</m:t>
                      </m:r>
                    </m:sub>
                  </m:sSub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b</m:t>
                      </m:r>
                      <m:r>
                        <m:t>l</m:t>
                      </m:r>
                      <m:r>
                        <m:t>o</m:t>
                      </m:r>
                      <m:r>
                        <m:t>c</m:t>
                      </m:r>
                      <m:r>
                        <m:t>k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t>i</m:t>
                      </m:r>
                      <m:r>
                        <m:t>m</m:t>
                      </m:r>
                      <m:r>
                        <m:t>u</m:t>
                      </m:r>
                      <m:r>
                        <m:t>l</m:t>
                      </m:r>
                      <m:r>
                        <m:t>t</m:t>
                      </m:r>
                      <m:r>
                        <m:t>a</m:t>
                      </m:r>
                      <m:r>
                        <m:t>n</m:t>
                      </m:r>
                      <m:r>
                        <m:t>e</m:t>
                      </m:r>
                      <m:r>
                        <m:t>o</m:t>
                      </m:r>
                      <m:r>
                        <m:t>u</m:t>
                      </m:r>
                      <m:r>
                        <m:t>s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b</m:t>
              </m:r>
              <m:r>
                <m:t>l</m:t>
              </m:r>
              <m:r>
                <m:t>o</m:t>
              </m:r>
              <m:r>
                <m:t>c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s</m:t>
                  </m:r>
                  <m:r>
                    <m:t>h</m:t>
                  </m:r>
                  <m:r>
                    <m:t>i</m:t>
                  </m:r>
                  <m:r>
                    <m:t>f</m:t>
                  </m:r>
                  <m:r>
                    <m:t>t</m:t>
                  </m:r>
                  <m:r>
                    <m:t>s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⋅</m:t>
          </m:r>
          <m:sSub>
            <m:e>
              <m:r>
                <m:t>T</m:t>
              </m:r>
            </m:e>
            <m:sub>
              <m:r>
                <m:t>b</m:t>
              </m:r>
              <m:r>
                <m:t>l</m:t>
              </m:r>
              <m:r>
                <m:t>o</m:t>
              </m:r>
              <m:r>
                <m:t>c</m:t>
              </m:r>
              <m:r>
                <m:t>k</m:t>
              </m:r>
            </m:sub>
          </m:sSub>
        </m:oMath>
      </m:oMathPara>
    </w:p>
    <w:p>
      <w:pPr>
        <w:pStyle w:val="FirstParagraph"/>
      </w:pPr>
      <w:r>
        <w:t xml:space="preserve">D_max is the largest gross depth one block can receive in one day.</w:t>
      </w:r>
    </w:p>
    <w:bookmarkEnd w:id="57"/>
    <w:bookmarkStart w:id="58" w:name="the-daily-recursion"/>
    <w:p>
      <w:pPr>
        <w:pStyle w:val="Heading3"/>
      </w:pPr>
      <w:r>
        <w:rPr>
          <w:rStyle w:val="SectionNumber"/>
        </w:rPr>
        <w:t xml:space="preserve">0.8.5</w:t>
      </w:r>
      <w:r>
        <w:tab/>
      </w:r>
      <w:r>
        <w:t xml:space="preserve">8.5 The daily recursion</w:t>
      </w:r>
    </w:p>
    <w:p>
      <w:pPr>
        <w:pStyle w:val="FirstParagraph"/>
      </w:pPr>
      <w:r>
        <w:t xml:space="preserve">For each day t: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Demand and rainfall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←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+</m:t>
              </m:r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t</m:t>
                  </m:r>
                </m:e>
              </m:d>
            </m:e>
          </m:d>
        </m:oMath>
      </m:oMathPara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Trigger test.</w:t>
      </w:r>
      <w:r>
        <w:t xml:space="preserve"> </w:t>
      </w:r>
      <w:r>
        <w:t xml:space="preserve">If D_r ≥ RAW and RAW &gt; 0: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r</m:t>
              </m:r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G</m:t>
              </m:r>
            </m:e>
            <m:sub>
              <m:r>
                <m:t>a</m:t>
              </m:r>
              <m:r>
                <m:t>p</m:t>
              </m:r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G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q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e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G</m:t>
                  </m:r>
                </m:e>
                <m:sub>
                  <m:r>
                    <m:t>a</m:t>
                  </m:r>
                  <m:r>
                    <m:t>p</m:t>
                  </m:r>
                  <m:r>
                    <m:t>p</m:t>
                  </m:r>
                </m:sub>
              </m:sSub>
            </m:num>
            <m:den>
              <m:r>
                <m:t>I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←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G</m:t>
                  </m:r>
                </m:e>
                <m:sub>
                  <m:r>
                    <m:t>a</m:t>
                  </m:r>
                  <m:r>
                    <m:t>p</m:t>
                  </m:r>
                  <m:r>
                    <m:t>p</m:t>
                  </m:r>
                </m:sub>
              </m:sSub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If G_app &lt; G_req the day is flagged</w:t>
      </w:r>
      <w:r>
        <w:t xml:space="preserve"> </w:t>
      </w:r>
      <w:r>
        <w:rPr>
          <w:bCs/>
          <w:b/>
        </w:rPr>
        <w:t xml:space="preserve">capacity-limited</w:t>
      </w:r>
      <w:r>
        <w:t xml:space="preserve"> </w:t>
      </w:r>
      <w:r>
        <w:t xml:space="preserve">and the shortfall G_req − G_app is</w:t>
      </w:r>
      <w:r>
        <w:t xml:space="preserve"> </w:t>
      </w:r>
      <w:r>
        <w:t xml:space="preserve">accumulated as unmet demand.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 and diagnose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←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D</m:t>
                  </m:r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 </m:t>
              </m:r>
              <m:r>
                <m:t>T</m:t>
              </m:r>
              <m:r>
                <m:t>A</m:t>
              </m:r>
              <m:r>
                <m:t>W</m:t>
              </m:r>
            </m:e>
          </m:d>
        </m:oMath>
      </m:oMathPara>
    </w:p>
    <w:p>
      <w:pPr>
        <w:pStyle w:val="FirstParagraph"/>
      </w:pPr>
      <w:r>
        <w:t xml:space="preserve">A day ending with D_r &gt; RAW is counted as a</w:t>
      </w:r>
      <w:r>
        <w:t xml:space="preserve"> </w:t>
      </w:r>
      <w:r>
        <w:rPr>
          <w:bCs/>
          <w:b/>
        </w:rPr>
        <w:t xml:space="preserve">stress day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distinction matters.</w:t>
      </w:r>
      <w:r>
        <w:t xml:space="preserve"> </w:t>
      </w:r>
      <w:r>
        <w:t xml:space="preserve">A capacity-limited day is a scheduling constraint; a stress day is an</w:t>
      </w:r>
      <w:r>
        <w:t xml:space="preserve"> </w:t>
      </w:r>
      <w:r>
        <w:t xml:space="preserve">agronomic consequence. In the reference case there are 10 capacity-limited days and 0 stress days,</w:t>
      </w:r>
      <w:r>
        <w:t xml:space="preserve"> </w:t>
      </w:r>
      <w:r>
        <w:t xml:space="preserve">because each shortfall is recovered the following morning. The check is deliberately conservative.</w:t>
      </w:r>
    </w:p>
    <w:bookmarkEnd w:id="58"/>
    <w:bookmarkStart w:id="59" w:name="capacity-feasibility-and-inversion"/>
    <w:p>
      <w:pPr>
        <w:pStyle w:val="Heading3"/>
      </w:pPr>
      <w:r>
        <w:rPr>
          <w:rStyle w:val="SectionNumber"/>
        </w:rPr>
        <w:t xml:space="preserve">0.8.6</w:t>
      </w:r>
      <w:r>
        <w:tab/>
      </w:r>
      <w:r>
        <w:t xml:space="preserve">8.6 Capacity feasibility and inversion</w:t>
      </w:r>
    </w:p>
    <w:p>
      <w:pPr>
        <w:pStyle w:val="FirstParagraph"/>
      </w:pPr>
      <w:r>
        <w:t xml:space="preserve">Hours per day the whole system must run to meet a given demand: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r</m:t>
              </m:r>
              <m:r>
                <m:t>e</m:t>
              </m:r>
              <m:r>
                <m:t>q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t> </m:t>
              </m:r>
              <m:r>
                <m:t>I</m:t>
              </m:r>
            </m:den>
          </m:f>
          <m:r>
            <m:t> </m:t>
          </m:r>
          <m:sSub>
            <m:e>
              <m:r>
                <m:t>n</m:t>
              </m:r>
            </m:e>
            <m:sub>
              <m:r>
                <m:t>s</m:t>
              </m:r>
              <m:r>
                <m:t>h</m:t>
              </m:r>
              <m:r>
                <m:t>i</m:t>
              </m:r>
              <m:r>
                <m:t>f</m:t>
              </m:r>
              <m:r>
                <m:t>t</m:t>
              </m:r>
              <m:r>
                <m:t>s</m:t>
              </m:r>
            </m:sub>
          </m:sSub>
        </m:oMath>
      </m:oMathPara>
    </w:p>
    <w:p>
      <w:pPr>
        <w:pStyle w:val="FirstParagraph"/>
      </w:pPr>
      <w:r>
        <w:t xml:space="preserve">Feasible when T_req ≤ T_max. Inverting for the application rate and hence the emitter needed: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r</m:t>
              </m:r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b</m:t>
                  </m:r>
                  <m:r>
                    <m:t>l</m:t>
                  </m:r>
                  <m:r>
                    <m:t>o</m:t>
                  </m:r>
                  <m:r>
                    <m:t>c</m:t>
                  </m:r>
                  <m:r>
                    <m:t>k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r</m:t>
              </m:r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r</m:t>
                  </m:r>
                  <m:r>
                    <m:t>e</m:t>
                  </m:r>
                  <m:r>
                    <m:t>q</m:t>
                  </m:r>
                </m:sub>
              </m:sSub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</m:sub>
              </m:sSub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</m:num>
            <m:den>
              <m:sSub>
                <m:e>
                  <m:r>
                    <m:t>n</m:t>
                  </m:r>
                </m:e>
                <m:sub>
                  <m:r>
                    <m:t>e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The constraint is a valley, not a slope.</w:t>
      </w:r>
      <w:r>
        <w:t xml:space="preserve"> </w:t>
      </w:r>
      <w:r>
        <w:t xml:space="preserve">The required event depth is whichever is larger — the</w:t>
      </w:r>
      <w:r>
        <w:t xml:space="preserve"> </w:t>
      </w:r>
      <w:r>
        <w:t xml:space="preserve">readily available water, or one day’s demand: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r</m:t>
              </m:r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max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R</m:t>
                  </m:r>
                  <m:r>
                    <m:t>A</m:t>
                  </m:r>
                  <m:r>
                    <m:t>W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E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d>
            </m:num>
            <m:den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At low ETc, p_adj rises toward 0.8, RAW grows, the interval stretches, and events become large. At</w:t>
      </w:r>
      <w:r>
        <w:t xml:space="preserve"> </w:t>
      </w:r>
      <w:r>
        <w:t xml:space="preserve">high ETc, p_adj hits its 0.1 floor, the interval collapses to one day, and the event equals a full</w:t>
      </w:r>
      <w:r>
        <w:t xml:space="preserve"> </w:t>
      </w:r>
      <w:r>
        <w:t xml:space="preserve">day’s demand. Both extremes can exceed D_max, while the middle range is safe. For the reference</w:t>
      </w:r>
      <w:r>
        <w:t xml:space="preserve"> </w:t>
      </w:r>
      <w:r>
        <w:t xml:space="preserve">configuration the safe window is roughly 2.4 to 17.5 mm d⁻¹.</w:t>
      </w:r>
    </w:p>
    <w:p>
      <w:pPr>
        <w:pStyle w:val="BodyText"/>
      </w:pPr>
      <w:r>
        <w:t xml:space="preserve">This explains a result that appears paradoxical: a temperate design with 4 sequential blocks is</w:t>
      </w:r>
      <w:r>
        <w:t xml:space="preserve"> </w:t>
      </w:r>
      <w:r>
        <w:t xml:space="preserve">capacity-limited on 10 days, while an arid design at 16 mm d⁻¹ is limited on none. Sizing on peak</w:t>
      </w:r>
      <w:r>
        <w:t xml:space="preserve"> </w:t>
      </w:r>
      <w:r>
        <w:t xml:space="preserve">seasonal demand alone would not detect it.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X5698dd25b3e596c64b00a292f622045805544ce"/>
    <w:p>
      <w:pPr>
        <w:pStyle w:val="Heading2"/>
      </w:pPr>
      <w:r>
        <w:rPr>
          <w:rStyle w:val="SectionNumber"/>
        </w:rPr>
        <w:t xml:space="preserve">0.9</w:t>
      </w:r>
      <w:r>
        <w:tab/>
      </w:r>
      <w:r>
        <w:t xml:space="preserve">9. Emitter discharge as a boundary condition</w:t>
      </w:r>
    </w:p>
    <w:p>
      <w:pPr>
        <w:pStyle w:val="FirstParagraph"/>
      </w:pPr>
      <w:r>
        <w:rPr>
          <w:iCs/>
          <w:i/>
        </w:rPr>
        <w:t xml:space="preserve">Implemented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woodingRadius</w:t>
      </w:r>
      <w:r>
        <w:rPr>
          <w:iCs/>
          <w:i/>
        </w:rPr>
        <w:t xml:space="preserve">, block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FX</w:t>
      </w:r>
      <w:r>
        <w:rPr>
          <w:iCs/>
          <w:i/>
        </w:rPr>
        <w:t xml:space="preserve">.</w:t>
      </w:r>
    </w:p>
    <w:p>
      <w:pPr>
        <w:pStyle w:val="BodyText"/>
      </w:pPr>
      <w:r>
        <w:t xml:space="preserve">This section converts a catalogue discharge into the boundary condition a Richards solver requires.</w:t>
      </w:r>
    </w:p>
    <w:bookmarkStart w:id="61" w:name="point-source-flux"/>
    <w:p>
      <w:pPr>
        <w:pStyle w:val="Heading3"/>
      </w:pPr>
      <w:r>
        <w:rPr>
          <w:rStyle w:val="SectionNumber"/>
        </w:rPr>
        <w:t xml:space="preserve">0.9.1</w:t>
      </w:r>
      <w:r>
        <w:tab/>
      </w:r>
      <w:r>
        <w:t xml:space="preserve">9.1 Point source flux</w:t>
      </w:r>
    </w:p>
    <w:p>
      <w:pPr>
        <w:pStyle w:val="FirstParagraph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sSub>
            <m:e>
              <m:r>
                <m:t>q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×</m:t>
          </m:r>
          <m:r>
            <m:t>1000</m:t>
          </m:r>
          <m:r>
            <m:t> </m:t>
          </m:r>
          <m:r>
            <m:t> 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π</m:t>
          </m:r>
          <m:sSubSup>
            <m:e>
              <m:r>
                <m:t>r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Q</m:t>
              </m:r>
            </m:num>
            <m:den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den>
          </m:f>
          <m:r>
            <m:t> </m:t>
          </m:r>
          <m:r>
            <m:t> 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Unit conversions offered: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HYDRUS with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q₀ (cm h⁻¹)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HYDRUS with 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q₀ /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 h⁻¹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q₀ ×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 s⁻¹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q₀ / 100 / 3600</w:t>
            </w:r>
          </w:p>
        </w:tc>
      </w:tr>
    </w:tbl>
    <w:bookmarkEnd w:id="61"/>
    <w:bookmarkStart w:id="62" w:name="the-ponding-criterion"/>
    <w:p>
      <w:pPr>
        <w:pStyle w:val="Heading3"/>
      </w:pPr>
      <w:r>
        <w:rPr>
          <w:rStyle w:val="SectionNumber"/>
        </w:rPr>
        <w:t xml:space="preserve">0.9.2</w:t>
      </w:r>
      <w:r>
        <w:tab/>
      </w:r>
      <w:r>
        <w:t xml:space="preserve">9.2 The ponding criterion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K</m:t>
              </m:r>
            </m:e>
            <m:sub>
              <m:r>
                <m:t>s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constant-flux Neumann boundary over </m:t>
          </m:r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nor/>
              <m:sty m:val="p"/>
            </m:rPr>
            <m:t> is valid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&gt;</m:t>
          </m:r>
          <m:sSub>
            <m:e>
              <m:r>
                <m:t>K</m:t>
              </m:r>
            </m:e>
            <m:sub>
              <m:r>
                <m:t>s</m:t>
              </m:r>
            </m:sub>
          </m:sSub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the soil cannot absorb the discharge over that area; water ponds</m:t>
          </m:r>
        </m:oMath>
      </m:oMathPara>
    </w:p>
    <w:p>
      <w:pPr>
        <w:pStyle w:val="FirstParagraph"/>
      </w:pPr>
      <w:r>
        <w:rPr>
          <w:bCs/>
          <w:b/>
        </w:rPr>
        <w:t xml:space="preserve">This is the most common error in drip modelling.</w:t>
      </w:r>
      <w:r>
        <w:t xml:space="preserve"> </w:t>
      </w:r>
      <w:r>
        <w:t xml:space="preserve">For a 2.3 L h⁻¹ emitter on loam with r₀ = 3 cm,</w:t>
      </w:r>
      <w:r>
        <w:t xml:space="preserve"> </w:t>
      </w:r>
      <w:r>
        <w:t xml:space="preserve">q₀ = 81.3 cm h⁻¹ against Ks = 1.04 cm h⁻¹ — a ratio of 78. The assumed radius is physically</w:t>
      </w:r>
      <w:r>
        <w:t xml:space="preserve"> </w:t>
      </w:r>
      <w:r>
        <w:t xml:space="preserve">impossible, and a fixed-flux boundary over it will bias the bulb badly.</w:t>
      </w:r>
    </w:p>
    <w:bookmarkEnd w:id="62"/>
    <w:bookmarkStart w:id="63" w:name="woodings-steady-solution"/>
    <w:p>
      <w:pPr>
        <w:pStyle w:val="Heading3"/>
      </w:pPr>
      <w:r>
        <w:rPr>
          <w:rStyle w:val="SectionNumber"/>
        </w:rPr>
        <w:t xml:space="preserve">0.9.3</w:t>
      </w:r>
      <w:r>
        <w:tab/>
      </w:r>
      <w:r>
        <w:t xml:space="preserve">9.3 Wooding’s steady solution</w:t>
      </w:r>
    </w:p>
    <w:p>
      <w:pPr>
        <w:pStyle w:val="FirstParagraph"/>
      </w:pPr>
      <w:r>
        <w:t xml:space="preserve">Wooding (1968) for steady infiltration from a shallow circular pond of radius r on a soil with</w:t>
      </w:r>
      <w:r>
        <w:t xml:space="preserve"> </w:t>
      </w:r>
      <w:r>
        <w:t xml:space="preserve">Gardner exponential conductivity: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=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sSub>
            <m:e>
              <m:r>
                <m:t>K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π</m:t>
                  </m:r>
                  <m:r>
                    <m:t>α</m:t>
                  </m:r>
                  <m:r>
                    <m:t>r</m:t>
                  </m:r>
                </m:den>
              </m:f>
            </m:e>
          </m:d>
        </m:oMath>
      </m:oMathPara>
    </w:p>
    <w:p>
      <w:pPr>
        <w:pStyle w:val="FirstParagraph"/>
      </w:pPr>
      <w:r>
        <w:t xml:space="preserve">The first term is the gravity-driven flux through the disc; the second is the capillary contribution</w:t>
      </w:r>
      <w:r>
        <w:t xml:space="preserve"> </w:t>
      </w:r>
      <w:r>
        <w:t xml:space="preserve">drawn laterally from the perimeter, which scales with the capillary length. Solving for r gives the</w:t>
      </w:r>
      <w:r>
        <w:t xml:space="preserve"> </w:t>
      </w:r>
      <w:r>
        <w:t xml:space="preserve">radius at which a saturated disc can just absorb Q at steady state.</w:t>
      </w:r>
    </w:p>
    <w:p>
      <w:pPr>
        <w:pStyle w:val="BodyText"/>
      </w:pPr>
      <w:r>
        <w:t xml:space="preserve">Solved by Newton–Raphson: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π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sSub>
            <m:e>
              <m:r>
                <m:t>K</m:t>
              </m:r>
            </m:e>
            <m:sub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π</m:t>
                  </m:r>
                  <m:r>
                    <m:t>α</m:t>
                  </m:r>
                  <m:r>
                    <m:t>r</m:t>
                  </m:r>
                </m:den>
              </m:f>
            </m:e>
          </m:d>
          <m:r>
            <m:rPr>
              <m:sty m:val="p"/>
            </m:rPr>
            <m:t>−</m:t>
          </m:r>
          <m:r>
            <m:t>Q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′</m:t>
          </m:r>
          <m:d>
            <m:dPr>
              <m:begChr m:val="("/>
              <m:endChr m:val=")"/>
              <m:sepChr m:val=""/>
              <m:grow/>
            </m:dPr>
            <m:e>
              <m:r>
                <m:t>r</m:t>
              </m:r>
            </m:e>
          </m:d>
          <m:r>
            <m:rPr>
              <m:sty m:val="p"/>
            </m:rPr>
            <m:t>=</m:t>
          </m:r>
          <m:r>
            <m:t>2</m:t>
          </m:r>
          <m:r>
            <m:t>π</m:t>
          </m:r>
          <m:r>
            <m:t>r</m:t>
          </m:r>
          <m:sSub>
            <m:e>
              <m:r>
                <m:t>K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4</m:t>
              </m:r>
              <m:sSub>
                <m:e>
                  <m:r>
                    <m:t>K</m:t>
                  </m:r>
                </m:e>
                <m:sub>
                  <m:r>
                    <m:t>s</m:t>
                  </m:r>
                </m:sub>
              </m:sSub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r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F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′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sSub>
                        <m:e>
                          <m:r>
                            <m:t>r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d>
                </m:den>
              </m:f>
            </m:e>
          </m:d>
        </m:oMath>
      </m:oMathPara>
    </w:p>
    <w:p>
      <w:pPr>
        <w:pStyle w:val="FirstParagraph"/>
      </w:pPr>
      <w:r>
        <w:t xml:space="preserve">from r₀ = 1 cm, 80 iterations. α here is α_eff from Section 2.4,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α_vG.</w:t>
      </w:r>
    </w:p>
    <w:p>
      <w:pPr>
        <w:pStyle w:val="BodyText"/>
      </w:pPr>
      <w:r>
        <w:t xml:space="preserve">The effective flux at that radius is q_w = Q/(πr_w²), which necessarily exceeds Ks because the</w:t>
      </w:r>
      <w:r>
        <w:t xml:space="preserve"> </w:t>
      </w:r>
      <w:r>
        <w:t xml:space="preserve">capillary term contributes.</w:t>
      </w:r>
    </w:p>
    <w:bookmarkEnd w:id="63"/>
    <w:bookmarkStart w:id="64" w:name="line-source"/>
    <w:p>
      <w:pPr>
        <w:pStyle w:val="Heading3"/>
      </w:pPr>
      <w:r>
        <w:rPr>
          <w:rStyle w:val="SectionNumber"/>
        </w:rPr>
        <w:t xml:space="preserve">0.9.4</w:t>
      </w:r>
      <w:r>
        <w:tab/>
      </w:r>
      <w:r>
        <w:t xml:space="preserve">9.4 Line source</w:t>
      </w:r>
    </w:p>
    <w:p>
      <w:pPr>
        <w:pStyle w:val="FirstParagraph"/>
      </w:pPr>
      <w:r>
        <w:t xml:space="preserve">When emitters are close enough that their sources merge, the correct idealisation is a line source</w:t>
      </w:r>
      <w:r>
        <w:t xml:space="preserve"> </w:t>
      </w:r>
      <w:r>
        <w:t xml:space="preserve">of strength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×</m:t>
              </m:r>
              <m:r>
                <m:t>1000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×</m:t>
              </m:r>
              <m:r>
                <m:t>100</m:t>
              </m:r>
            </m:den>
          </m:f>
          <m:r>
            <m:t>  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c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2</m:t>
                  </m:r>
                </m:sup>
              </m:sSup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applied over a strip of half-width b = max(r₀, r_w), giving a planar two-dimensional flux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l</m:t>
              </m:r>
              <m:r>
                <m:t>i</m:t>
              </m:r>
              <m:r>
                <m:t>n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L</m:t>
                  </m:r>
                </m:sub>
              </m:sSub>
            </m:num>
            <m:den>
              <m:r>
                <m:t>2</m:t>
              </m:r>
              <m:r>
                <m:t>b</m:t>
              </m:r>
            </m:den>
          </m:f>
          <m:r>
            <m:t>  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d>
        </m:oMath>
      </m:oMathPara>
    </w:p>
    <w:p>
      <w:pPr>
        <w:pStyle w:val="FirstParagraph"/>
      </w:pPr>
      <w:r>
        <w:rPr>
          <w:bCs/>
          <w:b/>
        </w:rPr>
        <w:t xml:space="preserve">Test for which idealisation applies:</w:t>
      </w:r>
      <w:r>
        <w:t xml:space="preserve"> </w:t>
      </w:r>
      <w:r>
        <w:t xml:space="preserve">if 2r_w &gt; Sₑ the saturated discs themselves overlap and</w:t>
      </w:r>
      <w:r>
        <w:t xml:space="preserve"> </w:t>
      </w:r>
      <w:r>
        <w:t xml:space="preserve">the point-source treatment is invalid regardless of what the bulbs do.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wetting-front-geometry"/>
    <w:p>
      <w:pPr>
        <w:pStyle w:val="Heading2"/>
      </w:pPr>
      <w:r>
        <w:rPr>
          <w:rStyle w:val="SectionNumber"/>
        </w:rPr>
        <w:t xml:space="preserve">0.10</w:t>
      </w:r>
      <w:r>
        <w:tab/>
      </w:r>
      <w:r>
        <w:t xml:space="preserve">10. Wetting front geometry</w:t>
      </w:r>
    </w:p>
    <w:p>
      <w:pPr>
        <w:pStyle w:val="FirstParagraph"/>
      </w:pPr>
      <w:r>
        <w:rPr>
          <w:iCs/>
          <w:i/>
        </w:rPr>
        <w:t xml:space="preserve">Implemented in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bulbSZ</w:t>
      </w:r>
      <w:r>
        <w:rPr>
          <w:iCs/>
          <w:i/>
        </w:rPr>
        <w:t xml:space="preserve">, block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</w:t>
      </w:r>
      <w:r>
        <w:rPr>
          <w:iCs/>
          <w:i/>
        </w:rPr>
        <w:t xml:space="preserve">.</w:t>
      </w:r>
    </w:p>
    <w:bookmarkStart w:id="66" w:name="physical-basis"/>
    <w:p>
      <w:pPr>
        <w:pStyle w:val="Heading3"/>
      </w:pPr>
      <w:r>
        <w:rPr>
          <w:rStyle w:val="SectionNumber"/>
        </w:rPr>
        <w:t xml:space="preserve">0.10.1</w:t>
      </w:r>
      <w:r>
        <w:tab/>
      </w:r>
      <w:r>
        <w:t xml:space="preserve">10.1 Physical basis</w:t>
      </w:r>
    </w:p>
    <w:p>
      <w:pPr>
        <w:pStyle w:val="FirstParagraph"/>
      </w:pPr>
      <w:r>
        <w:t xml:space="preserve">Bulb shape is governed by the competition between gravity and capillarity, characterised by λc. A</w:t>
      </w:r>
      <w:r>
        <w:t xml:space="preserve"> </w:t>
      </w:r>
      <w:r>
        <w:t xml:space="preserve">short λc (sand, λc ≈ 7 cm) gives a narrow, columnar bulb. A long λc (clay, λc &gt; 100 cm) gives a</w:t>
      </w:r>
      <w:r>
        <w:t xml:space="preserve"> </w:t>
      </w:r>
      <w:r>
        <w:t xml:space="preserve">wide, flattened bulb with strong surface spreading.</w:t>
      </w:r>
    </w:p>
    <w:bookmarkEnd w:id="66"/>
    <w:bookmarkStart w:id="67" w:name="schwartzman-zur-correlation"/>
    <w:p>
      <w:pPr>
        <w:pStyle w:val="Heading3"/>
      </w:pPr>
      <w:r>
        <w:rPr>
          <w:rStyle w:val="SectionNumber"/>
        </w:rPr>
        <w:t xml:space="preserve">0.10.2</w:t>
      </w:r>
      <w:r>
        <w:tab/>
      </w:r>
      <w:r>
        <w:t xml:space="preserve">10.2 Schwartzman &amp; Zur correlation</w:t>
      </w:r>
    </w:p>
    <w:p>
      <w:pPr>
        <w:pStyle w:val="FirstParagraph"/>
      </w:pPr>
      <w:r>
        <w:t xml:space="preserve">Schwartzman &amp; Zur (1986), with V in m³, q in m³ h⁻¹, Ks in m h⁻¹, w and z in m: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t>1.82</m:t>
          </m:r>
          <m:r>
            <m:t> </m:t>
          </m:r>
          <m:sSup>
            <m:e>
              <m:r>
                <m:t>V</m:t>
              </m:r>
            </m:e>
            <m:sup>
              <m:r>
                <m:t>0.22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0.17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2.54</m:t>
          </m:r>
          <m:r>
            <m:t> </m:t>
          </m:r>
          <m:sSup>
            <m:e>
              <m:r>
                <m:t>V</m:t>
              </m:r>
            </m:e>
            <m:sup>
              <m:r>
                <m:t>0.63</m:t>
              </m:r>
            </m:sup>
          </m:sSup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K</m:t>
                          </m:r>
                        </m:e>
                        <m:sub>
                          <m:r>
                            <m:t>s</m:t>
                          </m:r>
                        </m:sub>
                      </m:sSub>
                    </m:num>
                    <m:den>
                      <m:r>
                        <m:t>q</m:t>
                      </m:r>
                    </m:den>
                  </m:f>
                </m:e>
              </m:d>
            </m:e>
            <m:sup>
              <m:r>
                <m:t>0.45</m:t>
              </m:r>
            </m:sup>
          </m:sSup>
        </m:oMath>
      </m:oMathPara>
    </w:p>
    <w:p>
      <w:pPr>
        <w:pStyle w:val="FirstParagraph"/>
      </w:pPr>
      <w:r>
        <w:rPr>
          <w:bCs/>
          <w:b/>
        </w:rPr>
        <w:t xml:space="preserve">Read the exponents.</w:t>
      </w:r>
      <w:r>
        <w:t xml:space="preserve"> </w:t>
      </w:r>
      <w:r>
        <w:t xml:space="preserve">Width scales with V^0.22, depth with V^0.63. Irrigating longer buys depth,</w:t>
      </w:r>
      <w:r>
        <w:t xml:space="preserve"> </w:t>
      </w:r>
      <w:r>
        <w:t xml:space="preserve">not width — a factor of eight in volume gives 1.6× the width but 3.6× the depth. This is why</w:t>
      </w:r>
      <w:r>
        <w:t xml:space="preserve"> </w:t>
      </w:r>
      <w:r>
        <w:t xml:space="preserve">pulsing is the standard remedy on coarse soils and for keeping nitrate inside the root zone.</w:t>
      </w:r>
    </w:p>
    <w:p>
      <w:pPr>
        <w:pStyle w:val="BodyText"/>
      </w:pPr>
      <w:r>
        <w:t xml:space="preserve">The volume applied per emitter per event is</w:t>
      </w:r>
    </w:p>
    <w:p>
      <w:pPr>
        <w:pStyle w:val="BodyText"/>
      </w:pPr>
      <m:oMathPara>
        <m:oMathParaPr>
          <m:jc m:val="center"/>
        </m:oMathParaPr>
        <m:oMath>
          <m: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t</m:t>
                  </m:r>
                </m:sub>
              </m:sSub>
            </m:num>
            <m:den>
              <m:r>
                <m:t>1000</m:t>
              </m:r>
            </m:den>
          </m:f>
          <m:r>
            <m:t>  </m:t>
          </m:r>
          <m:d>
            <m:dPr>
              <m:begChr m:val="["/>
              <m:endChr m:val="]"/>
              <m:sepChr m:val=""/>
              <m:grow/>
            </m:dPr>
            <m:e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using the</w:t>
      </w:r>
      <w:r>
        <w:t xml:space="preserve"> </w:t>
      </w:r>
      <w:r>
        <w:rPr>
          <w:bCs/>
          <w:b/>
        </w:rPr>
        <w:t xml:space="preserve">largest scheduled event</w:t>
      </w:r>
      <w:r>
        <w:t xml:space="preserve"> </w:t>
      </w:r>
      <w:r>
        <w:t xml:space="preserve">from the water balance, so the bulb reported is the worst case.</w:t>
      </w:r>
    </w:p>
    <w:bookmarkEnd w:id="67"/>
    <w:bookmarkStart w:id="68" w:name="pulsing-adjustment"/>
    <w:p>
      <w:pPr>
        <w:pStyle w:val="Heading3"/>
      </w:pPr>
      <w:r>
        <w:rPr>
          <w:rStyle w:val="SectionNumber"/>
        </w:rPr>
        <w:t xml:space="preserve">0.10.3</w:t>
      </w:r>
      <w:r>
        <w:tab/>
      </w:r>
      <w:r>
        <w:t xml:space="preserve">10.3 Pulsing adjustment</w:t>
      </w:r>
    </w:p>
    <w:p>
      <w:pPr>
        <w:pStyle w:val="FirstParagraph"/>
      </w:pPr>
      <w:r>
        <w:t xml:space="preserve">With N_p equal pulses per event, V_p = V/N_p, and the correlation is evaluated on V_p, then scaled: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t>w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e>
          </m:d>
          <m:r>
            <m:t> </m:t>
          </m:r>
          <m:sSubSup>
            <m:e>
              <m:r>
                <m:t>N</m:t>
              </m:r>
            </m:e>
            <m:sub>
              <m:r>
                <m:t>p</m:t>
              </m:r>
            </m:sub>
            <m:sup>
              <m:r>
                <m:t>0.07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t>z</m:t>
          </m:r>
          <m:r>
            <m:rPr>
              <m:sty m:val="p"/>
            </m:rPr>
            <m:t>=</m:t>
          </m:r>
          <m:r>
            <m:t>z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V</m:t>
                  </m:r>
                </m:e>
                <m:sub>
                  <m:r>
                    <m:t>p</m:t>
                  </m:r>
                </m:sub>
              </m:sSub>
            </m:e>
          </m:d>
          <m:r>
            <m:t> </m:t>
          </m:r>
          <m:sSubSup>
            <m:e>
              <m:r>
                <m:t>N</m:t>
              </m:r>
            </m:e>
            <m:sub>
              <m:r>
                <m:t>p</m:t>
              </m:r>
            </m:sub>
            <m:sup>
              <m:r>
                <m:t>0.18</m:t>
              </m:r>
            </m:sup>
          </m:sSubSup>
        </m:oMath>
      </m:oMathPara>
    </w:p>
    <w:p>
      <w:pPr>
        <w:pStyle w:val="FirstParagraph"/>
      </w:pPr>
      <w:r>
        <w:rPr>
          <w:bCs/>
          <w:b/>
        </w:rPr>
        <w:t xml:space="preserve">These two exponents are a heuristic, not a published correlation.</w:t>
      </w:r>
      <w:r>
        <w:t xml:space="preserve"> </w:t>
      </w:r>
      <w:r>
        <w:t xml:space="preserve">They encode the qualitative</w:t>
      </w:r>
      <w:r>
        <w:t xml:space="preserve"> </w:t>
      </w:r>
      <w:r>
        <w:t xml:space="preserve">result that pulsing recovers depth more than width once redistribution between pulses is allowed,</w:t>
      </w:r>
      <w:r>
        <w:t xml:space="preserve"> </w:t>
      </w:r>
      <w:r>
        <w:t xml:space="preserve">but they are not calibrated. Treat pulsed results as indicative only, and verify numerically.</w:t>
      </w:r>
    </w:p>
    <w:bookmarkEnd w:id="68"/>
    <w:bookmarkStart w:id="69" w:name="mass-balance-cross-check"/>
    <w:p>
      <w:pPr>
        <w:pStyle w:val="Heading3"/>
      </w:pPr>
      <w:r>
        <w:rPr>
          <w:rStyle w:val="SectionNumber"/>
        </w:rPr>
        <w:t xml:space="preserve">0.10.4</w:t>
      </w:r>
      <w:r>
        <w:tab/>
      </w:r>
      <w:r>
        <w:t xml:space="preserve">10.4 Mass-balance cross-check</w:t>
      </w:r>
    </w:p>
    <w:p>
      <w:pPr>
        <w:pStyle w:val="FirstParagraph"/>
      </w:pPr>
      <w:r>
        <w:t xml:space="preserve">Idealising the bulb as a half-ellipsoid of horizontal semi-axis a = w/2 and vertical semi-axis z,</w:t>
      </w:r>
      <w:r>
        <w:t xml:space="preserve"> </w:t>
      </w:r>
      <w:r>
        <w:t xml:space="preserve">its volume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b</m:t>
              </m:r>
              <m:r>
                <m:t>u</m:t>
              </m:r>
              <m:r>
                <m:t>l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</m:num>
            <m:den>
              <m:r>
                <m:t>3</m:t>
              </m:r>
            </m:den>
          </m:f>
          <m:r>
            <m:t>π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t>z</m:t>
          </m:r>
        </m:oMath>
      </m:oMathPara>
    </w:p>
    <w:p>
      <w:pPr>
        <w:pStyle w:val="FirstParagraph"/>
      </w:pPr>
      <w:r>
        <w:t xml:space="preserve">Conservation requires V_bulb·Δθ = V. Holding the aspect ratio A = z/a from the correlation and</w:t>
      </w:r>
      <w:r>
        <w:t xml:space="preserve"> </w:t>
      </w:r>
      <w:r>
        <w:t xml:space="preserve">solving for 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M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endChr m:val="]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r>
                        <m:t>V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  <m:r>
                        <m:t>A</m:t>
                      </m:r>
                      <m:r>
                        <m:t> </m:t>
                      </m:r>
                      <m:r>
                        <m:t>Δ</m:t>
                      </m:r>
                      <m:r>
                        <m:t>θ</m:t>
                      </m:r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w</m:t>
              </m:r>
            </m:e>
            <m:sub>
              <m:r>
                <m:t>M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2</m:t>
          </m:r>
          <m:sSub>
            <m:e>
              <m:r>
                <m:t>a</m:t>
              </m:r>
            </m:e>
            <m:sub>
              <m:r>
                <m:t>M</m:t>
              </m:r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z</m:t>
              </m:r>
            </m:e>
            <m:sub>
              <m:r>
                <m:t>M</m:t>
              </m:r>
              <m:r>
                <m:t>B</m:t>
              </m:r>
            </m:sub>
          </m:sSub>
          <m:r>
            <m:rPr>
              <m:sty m:val="p"/>
            </m:rPr>
            <m:t>=</m:t>
          </m:r>
          <m:r>
            <m:t>A</m:t>
          </m:r>
          <m:r>
            <m:t> </m:t>
          </m:r>
          <m:sSub>
            <m:e>
              <m:r>
                <m:t>a</m:t>
              </m:r>
            </m:e>
            <m:sub>
              <m:r>
                <m:t>M</m:t>
              </m:r>
              <m:r>
                <m:t>B</m:t>
              </m:r>
            </m:sub>
          </m:sSub>
        </m:oMath>
      </m:oMathPara>
    </w:p>
    <w:p>
      <w:pPr>
        <w:pStyle w:val="FirstParagraph"/>
      </w:pPr>
      <w:r>
        <w:t xml:space="preserve">The two estimates should agree within roughly 20 %. A larger gap indicates that Δθ or Ks is wrong.</w:t>
      </w:r>
      <w:r>
        <w:t xml:space="preserve"> </w:t>
      </w:r>
      <w:r>
        <w:rPr>
          <w:bCs/>
          <w:b/>
        </w:rPr>
        <w:t xml:space="preserve">This is a parameter diagnostic, not a design result.</w:t>
      </w:r>
    </w:p>
    <w:bookmarkEnd w:id="69"/>
    <w:bookmarkStart w:id="70" w:name="wetted-fraction"/>
    <w:p>
      <w:pPr>
        <w:pStyle w:val="Heading3"/>
      </w:pPr>
      <w:r>
        <w:rPr>
          <w:rStyle w:val="SectionNumber"/>
        </w:rPr>
        <w:t xml:space="preserve">0.10.5</w:t>
      </w:r>
      <w:r>
        <w:tab/>
      </w:r>
      <w:r>
        <w:t xml:space="preserve">10.5 Wetted fraction</w:t>
      </w:r>
    </w:p>
    <w:p>
      <w:pPr>
        <w:pStyle w:val="FirstParagraph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min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 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w</m:t>
                            </m:r>
                          </m:num>
                          <m:den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r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w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(bulbs merge into a strip)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min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 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sSup>
                              <m:e>
                                <m:r>
                                  <m:t>w</m:t>
                                </m:r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/</m:t>
                            </m:r>
                            <m:r>
                              <m:t>4</m:t>
                            </m:r>
                          </m:num>
                          <m:den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e</m:t>
                                </m:r>
                              </m:sub>
                            </m:sSub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r</m:t>
                                </m:r>
                              </m:sub>
                            </m:sSub>
                          </m:den>
                        </m:f>
                      </m:e>
                    </m:d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w</m:t>
                    </m:r>
                    <m:r>
                      <m:t> </m:t>
                    </m:r>
                    <m:r>
                      <m:rPr>
                        <m:nor/>
                        <m:sty m:val="p"/>
                      </m:rPr>
                      <m:t>(discrete circles)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Targets: 30–40 % for widely spaced orchard crops, above 70 % for row crops. P must be fed back into</w:t>
      </w:r>
      <w:r>
        <w:t xml:space="preserve"> </w:t>
      </w:r>
      <w:r>
        <w:t xml:space="preserve">the water balance as f_w.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7" w:name="overlap-between-adjacent-bulbs"/>
    <w:p>
      <w:pPr>
        <w:pStyle w:val="Heading2"/>
      </w:pPr>
      <w:r>
        <w:rPr>
          <w:rStyle w:val="SectionNumber"/>
        </w:rPr>
        <w:t xml:space="preserve">0.11</w:t>
      </w:r>
      <w:r>
        <w:tab/>
      </w:r>
      <w:r>
        <w:t xml:space="preserve">11. Overlap between adjacent bulbs</w:t>
      </w:r>
    </w:p>
    <w:p>
      <w:pPr>
        <w:pStyle w:val="FirstParagraph"/>
      </w:pPr>
      <w:r>
        <w:rPr>
          <w:iCs/>
          <w:i/>
        </w:rPr>
        <w:t xml:space="preserve">Implemented in block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W</w:t>
      </w:r>
      <w:r>
        <w:rPr>
          <w:iCs/>
          <w:i/>
        </w:rPr>
        <w:t xml:space="preserve">, rendered by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BulbDrawing</w:t>
      </w:r>
      <w:r>
        <w:rPr>
          <w:iCs/>
          <w:i/>
        </w:rPr>
        <w:t xml:space="preserve">.</w:t>
      </w:r>
    </w:p>
    <w:p>
      <w:pPr>
        <w:pStyle w:val="BodyText"/>
      </w:pPr>
      <w:r>
        <w:t xml:space="preserve">Two adjacent emitters produce half-ellipses with semi-axes a = w/2 horizontally and b = z</w:t>
      </w:r>
      <w:r>
        <w:t xml:space="preserve"> </w:t>
      </w:r>
      <w:r>
        <w:t xml:space="preserve">vertically, with centres Sₑ apart on the soil surface. Define the normalised spacing</w:t>
      </w:r>
    </w:p>
    <w:p>
      <w:pPr>
        <w:pStyle w:val="BodyText"/>
      </w:pPr>
      <m:oMathPara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w</m:t>
              </m:r>
            </m:den>
          </m:f>
        </m:oMath>
      </m:oMathPara>
    </w:p>
    <w:bookmarkStart w:id="72" w:name="merge-depth"/>
    <w:p>
      <w:pPr>
        <w:pStyle w:val="Heading3"/>
      </w:pPr>
      <w:r>
        <w:rPr>
          <w:rStyle w:val="SectionNumber"/>
        </w:rPr>
        <w:t xml:space="preserve">0.11.1</w:t>
      </w:r>
      <w:r>
        <w:tab/>
      </w:r>
      <w:r>
        <w:t xml:space="preserve">11.1 Merge depth</w:t>
      </w:r>
    </w:p>
    <w:p>
      <w:pPr>
        <w:pStyle w:val="FirstParagraph"/>
      </w:pPr>
      <w:r>
        <w:t xml:space="preserve">The two ellipses intersect on the vertical midplane x = 0. Substituting into the equation of the</w:t>
      </w:r>
      <w:r>
        <w:t xml:space="preserve"> </w:t>
      </w:r>
      <w:r>
        <w:t xml:space="preserve">left-hand ellipse, whose centre is at x = −Sₑ/2: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e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num>
                    <m:den>
                      <m:r>
                        <m:t>w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z</m:t>
                          </m:r>
                        </m:e>
                        <m:sub>
                          <m:r>
                            <m:t>o</m:t>
                          </m:r>
                          <m:r>
                            <m:t>v</m:t>
                          </m:r>
                        </m:sub>
                      </m:sSub>
                    </m:num>
                    <m:den>
                      <m:r>
                        <m:t>z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o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r>
            <m:t>z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e</m:t>
                              </m:r>
                            </m:sub>
                          </m:sSub>
                        </m:num>
                        <m:den>
                          <m:r>
                            <m:t>w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=</m:t>
          </m:r>
          <m:r>
            <m:t>z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rPr>
          <w:bCs/>
          <w:b/>
        </w:rPr>
        <w:t xml:space="preserve">z_ov is the depth to which the wetted strip is genuinely continuous.</w:t>
      </w:r>
      <w:r>
        <w:t xml:space="preserve"> </w:t>
      </w:r>
      <w:r>
        <w:t xml:space="preserve">Below it lies a dry wedge</w:t>
      </w:r>
      <w:r>
        <w:t xml:space="preserve"> </w:t>
      </w:r>
      <w:r>
        <w:t xml:space="preserve">between emitters of thickness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sSub>
            <m:e>
              <m:r>
                <m:t>z</m:t>
              </m:r>
            </m:e>
            <m:sub>
              <m:r>
                <m:t>o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r>
            <m:t>z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</m:d>
        </m:oMath>
      </m:oMathPara>
    </w:p>
    <w:p>
      <w:pPr>
        <w:pStyle w:val="FirstParagraph"/>
      </w:pPr>
      <w:r>
        <w:t xml:space="preserve">The horizontal width of the overlap lens at the surface is simply w − Sₑ.</w:t>
      </w:r>
    </w:p>
    <w:bookmarkEnd w:id="72"/>
    <w:bookmarkStart w:id="73" w:name="overlap-area"/>
    <w:p>
      <w:pPr>
        <w:pStyle w:val="Heading3"/>
      </w:pPr>
      <w:r>
        <w:rPr>
          <w:rStyle w:val="SectionNumber"/>
        </w:rPr>
        <w:t xml:space="preserve">0.11.2</w:t>
      </w:r>
      <w:r>
        <w:tab/>
      </w:r>
      <w:r>
        <w:t xml:space="preserve">11.2 Overlap area</w:t>
      </w:r>
    </w:p>
    <w:p>
      <w:pPr>
        <w:pStyle w:val="FirstParagraph"/>
      </w:pPr>
      <w:r>
        <w:t xml:space="preserve">The area shared by the two half-ellipses, obtained by integrating the left ellipse’s lower boundary</w:t>
      </w:r>
      <w:r>
        <w:t xml:space="preserve"> </w:t>
      </w:r>
      <w:r>
        <w:t xml:space="preserve">from x = 0 to x = a − Sₑ/2 and doubling: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o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a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S</m:t>
                  </m:r>
                </m:e>
                <m:sub>
                  <m:r>
                    <m:t>e</m:t>
                  </m:r>
                </m:sub>
              </m:sSub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t>b</m:t>
              </m:r>
            </m:e>
          </m:nary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e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  <m:r>
            <m:t> 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k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arcsin</m:t>
              </m:r>
              <m:r>
                <m:t>k</m:t>
              </m:r>
            </m:e>
          </m:d>
        </m:oMath>
      </m:oMathPara>
    </w:p>
    <w:p>
      <w:pPr>
        <w:pStyle w:val="FirstParagraph"/>
      </w:pPr>
      <w:r>
        <w:t xml:space="preserve">Expressed as a fraction of one bulb’s cross-sectional area (πab/2):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o</m:t>
              </m:r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k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arcsin</m:t>
              </m:r>
              <m:r>
                <m:t>k</m:t>
              </m:r>
            </m:num>
            <m:den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Limits check: f_ov = 1 at k = 0 (coincident) and f_ov = 0 at k = 1 (just touching).</w:t>
      </w:r>
    </w:p>
    <w:bookmarkEnd w:id="73"/>
    <w:bookmarkStart w:id="74" w:name="inverting-for-the-design-spacing"/>
    <w:p>
      <w:pPr>
        <w:pStyle w:val="Heading3"/>
      </w:pPr>
      <w:r>
        <w:rPr>
          <w:rStyle w:val="SectionNumber"/>
        </w:rPr>
        <w:t xml:space="preserve">0.11.3</w:t>
      </w:r>
      <w:r>
        <w:tab/>
      </w:r>
      <w:r>
        <w:t xml:space="preserve">11.3 Inverting for the design spacing</w:t>
      </w:r>
    </w:p>
    <w:p>
      <w:pPr>
        <w:pStyle w:val="FirstParagraph"/>
      </w:pPr>
      <w:r>
        <w:t xml:space="preserve">To place the join at a target depth z_target: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=</m:t>
          </m:r>
          <m:r>
            <m:t>w</m:t>
          </m:r>
          <m:rad>
            <m:radPr>
              <m:degHide m:val="on"/>
            </m:radPr>
            <m:deg/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z</m:t>
                              </m:r>
                            </m:e>
                            <m:sub>
                              <m:r>
                                <m:t>t</m:t>
                              </m:r>
                              <m:r>
                                <m:t>a</m:t>
                              </m:r>
                              <m:r>
                                <m:t>r</m:t>
                              </m:r>
                              <m:r>
                                <m:t>g</m:t>
                              </m:r>
                              <m:r>
                                <m:t>e</m:t>
                              </m:r>
                              <m:r>
                                <m:t>t</m:t>
                              </m:r>
                            </m:sub>
                          </m:sSub>
                        </m:num>
                        <m:den>
                          <m:r>
                            <m:t>z</m:t>
                          </m:r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valid only when z &gt; z_target.</w:t>
      </w:r>
      <w:r>
        <w:t xml:space="preserve"> </w:t>
      </w:r>
      <w:r>
        <w:rPr>
          <w:bCs/>
          <w:b/>
        </w:rPr>
        <w:t xml:space="preserve">If the bulb is shallower than the target, no spacing can achieve</w:t>
      </w:r>
      <w:r>
        <w:rPr>
          <w:bCs/>
          <w:b/>
        </w:rPr>
        <w:t xml:space="preserve"> </w:t>
      </w:r>
      <w:r>
        <w:rPr>
          <w:bCs/>
          <w:b/>
        </w:rPr>
        <w:t xml:space="preserve">it</w:t>
      </w:r>
      <w:r>
        <w:t xml:space="preserve"> </w:t>
      </w:r>
      <w:r>
        <w:t xml:space="preserve">— the remedy is a longer set or a larger emitter, not closer emitters.</w:t>
      </w:r>
    </w:p>
    <w:bookmarkEnd w:id="74"/>
    <w:bookmarkStart w:id="75" w:name="worked-table"/>
    <w:p>
      <w:pPr>
        <w:pStyle w:val="Heading3"/>
      </w:pPr>
      <w:r>
        <w:rPr>
          <w:rStyle w:val="SectionNumber"/>
        </w:rPr>
        <w:t xml:space="preserve">0.11.4</w:t>
      </w:r>
      <w:r>
        <w:tab/>
      </w:r>
      <w:r>
        <w:t xml:space="preserve">11.4 Worked table</w:t>
      </w:r>
    </w:p>
    <w:p>
      <w:pPr>
        <w:pStyle w:val="FirstParagraph"/>
      </w:pPr>
      <w:r>
        <w:t xml:space="preserve">For w = 54 cm, z = 32 cm: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z_ov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 wedge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f_ov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0.35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0.40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0.50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cm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2 %</w:t>
            </w:r>
          </w:p>
        </w:tc>
      </w:tr>
    </w:tbl>
    <w:bookmarkEnd w:id="75"/>
    <w:bookmarkStart w:id="76" w:name="design-guidance"/>
    <w:p>
      <w:pPr>
        <w:pStyle w:val="Heading3"/>
      </w:pPr>
      <w:r>
        <w:rPr>
          <w:rStyle w:val="SectionNumber"/>
        </w:rPr>
        <w:t xml:space="preserve">0.11.5</w:t>
      </w:r>
      <w:r>
        <w:tab/>
      </w:r>
      <w:r>
        <w:t xml:space="preserve">11.5 Design guidance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Failure mode if violated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z_ov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root depth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 wedge between plants; salt accumulation at the fringe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f_ov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15–35 %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Below: discontinuous strip. Above: redundant emitters, deeper drainage at the midpoint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r_w vs Sₑ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r_w &lt; Sₑ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Sources merge; point-source model invalid, switch to line source</w:t>
            </w:r>
          </w:p>
        </w:tc>
      </w:tr>
    </w:tbl>
    <w:p>
      <w:pPr>
        <w:pStyle w:val="BodyText"/>
      </w:pPr>
      <w:r>
        <w:rPr>
          <w:bCs/>
          <w:b/>
        </w:rPr>
        <w:t xml:space="preserve">Four levers, in order of practical use.</w:t>
      </w:r>
      <w:r>
        <w:t xml:space="preserve"> </w:t>
      </w:r>
      <w:r>
        <w:t xml:space="preserve">Emitter spacing acts directly on k. Set duration raises</w:t>
      </w:r>
      <w:r>
        <w:t xml:space="preserve"> </w:t>
      </w:r>
      <w:r>
        <w:t xml:space="preserve">z far more than w (Section 10.2). Pulsing raises w/z and therefore the overlap for the same volume.</w:t>
      </w:r>
      <w:r>
        <w:t xml:space="preserve"> </w:t>
      </w:r>
      <w:r>
        <w:t xml:space="preserve">Emitter discharge raises w through q/Ks.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82" w:name="fertigation"/>
    <w:p>
      <w:pPr>
        <w:pStyle w:val="Heading2"/>
      </w:pPr>
      <w:r>
        <w:rPr>
          <w:rStyle w:val="SectionNumber"/>
        </w:rPr>
        <w:t xml:space="preserve">0.12</w:t>
      </w:r>
      <w:r>
        <w:tab/>
      </w:r>
      <w:r>
        <w:t xml:space="preserve">12. Fertigation</w:t>
      </w:r>
    </w:p>
    <w:p>
      <w:pPr>
        <w:pStyle w:val="FirstParagraph"/>
      </w:pPr>
      <w:r>
        <w:rPr>
          <w:iCs/>
          <w:i/>
        </w:rPr>
        <w:t xml:space="preserve">Implemented in block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F</w:t>
      </w:r>
      <w:r>
        <w:rPr>
          <w:iCs/>
          <w:i/>
        </w:rPr>
        <w:t xml:space="preserve">.</w:t>
      </w:r>
    </w:p>
    <w:bookmarkStart w:id="78" w:name="dose"/>
    <w:p>
      <w:pPr>
        <w:pStyle w:val="Heading3"/>
      </w:pPr>
      <w:r>
        <w:rPr>
          <w:rStyle w:val="SectionNumber"/>
        </w:rPr>
        <w:t xml:space="preserve">0.12.1</w:t>
      </w:r>
      <w:r>
        <w:tab/>
      </w:r>
      <w:r>
        <w:t xml:space="preserve">12.1 Dose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b</m:t>
              </m:r>
              <m:r>
                <m:t>l</m:t>
              </m:r>
              <m:r>
                <m:t>o</m:t>
              </m:r>
              <m:r>
                <m:t>c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m</m:t>
                  </m:r>
                </m:sub>
              </m:sSub>
              <m:r>
                <m:t> </m:t>
              </m:r>
              <m:sSub>
                <m:e>
                  <m:r>
                    <m:t>S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b>
                <m:e>
                  <m:r>
                    <m:t>L</m:t>
                  </m:r>
                </m:e>
                <m:sub>
                  <m:r>
                    <m:t>l</m:t>
                  </m:r>
                  <m:r>
                    <m:t>a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n</m:t>
                  </m:r>
                </m:e>
                <m:sub>
                  <m:r>
                    <m:t>s</m:t>
                  </m:r>
                  <m:r>
                    <m:t>i</m:t>
                  </m:r>
                  <m:r>
                    <m:t>d</m:t>
                  </m:r>
                  <m:r>
                    <m:t>e</m:t>
                  </m:r>
                  <m:r>
                    <m:t>s</m:t>
                  </m:r>
                </m:sub>
              </m:sSub>
            </m:num>
            <m:den>
              <m:r>
                <m:t>10000</m:t>
              </m:r>
            </m:den>
          </m:f>
          <m:r>
            <m:t>  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a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N</m:t>
              </m:r>
            </m:sub>
          </m:sSub>
          <m:r>
            <m:t> </m:t>
          </m:r>
          <m:sSub>
            <m:e>
              <m:r>
                <m:t>A</m:t>
              </m:r>
            </m:e>
            <m:sub>
              <m:r>
                <m:t>b</m:t>
              </m:r>
              <m:r>
                <m:t>l</m:t>
              </m:r>
              <m:r>
                <m:t>o</m:t>
              </m:r>
              <m:r>
                <m:t>c</m:t>
              </m:r>
              <m:r>
                <m:t>k</m:t>
              </m:r>
            </m:sub>
          </m:sSub>
          <m:r>
            <m:t> 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N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p</m:t>
              </m:r>
              <m:r>
                <m:t>r</m:t>
              </m:r>
              <m:r>
                <m:t>o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rPr>
                  <m:sty m:val="p"/>
                </m:rPr>
                <m:t>%</m:t>
              </m:r>
              <m:r>
                <m:t>N</m:t>
              </m:r>
              <m:r>
                <m:rPr>
                  <m:sty m:val="p"/>
                </m:rPr>
                <m:t>/</m:t>
              </m:r>
              <m:r>
                <m:t>100</m:t>
              </m:r>
            </m:den>
          </m:f>
          <m:r>
            <m:t> 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g</m:t>
              </m:r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t</m:t>
              </m:r>
              <m:r>
                <m:t>o</m:t>
              </m:r>
              <m:r>
                <m:t>c</m:t>
              </m:r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p</m:t>
                  </m:r>
                  <m:r>
                    <m:t>r</m:t>
                  </m:r>
                  <m:r>
                    <m:t>o</m:t>
                  </m:r>
                  <m:r>
                    <m:t>d</m:t>
                  </m:r>
                </m:sub>
              </m:sSub>
              <m:r>
                <m:rPr>
                  <m:sty m:val="p"/>
                </m:rPr>
                <m:t>×</m:t>
              </m:r>
              <m:r>
                <m:t>1000</m:t>
              </m:r>
            </m:num>
            <m:den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o</m:t>
                  </m:r>
                  <m:r>
                    <m:t>c</m:t>
                  </m:r>
                  <m:r>
                    <m:t>k</m:t>
                  </m:r>
                </m:sub>
              </m:sSub>
            </m:den>
          </m:f>
          <m:r>
            <m:t>  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L</m:t>
              </m:r>
            </m:e>
          </m:d>
        </m:oMath>
      </m:oMathPara>
    </w:p>
    <w:bookmarkEnd w:id="78"/>
    <w:bookmarkStart w:id="79" w:name="injection"/>
    <w:p>
      <w:pPr>
        <w:pStyle w:val="Heading3"/>
      </w:pPr>
      <w:r>
        <w:rPr>
          <w:rStyle w:val="SectionNumber"/>
        </w:rPr>
        <w:t xml:space="preserve">0.12.2</w:t>
      </w:r>
      <w:r>
        <w:tab/>
      </w:r>
      <w:r>
        <w:t xml:space="preserve">12.2 Injection</w:t>
      </w:r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  <m:r>
                <m:t>n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r>
                <m:t>5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0.5</m:t>
              </m:r>
              <m:r>
                <m:t> </m:t>
              </m:r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e</m:t>
                  </m:r>
                  <m:r>
                    <m:t>t</m:t>
                  </m:r>
                </m:sub>
              </m:sSub>
              <m:r>
                <m:rPr>
                  <m:sty m:val="p"/>
                </m:rPr>
                <m:t>×</m:t>
              </m:r>
              <m:r>
                <m:t>60</m:t>
              </m:r>
            </m:e>
          </m:d>
          <m:r>
            <m:t> 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n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R</m:t>
              </m:r>
            </m:e>
            <m:sub>
              <m:r>
                <m:t>i</m:t>
              </m:r>
              <m:r>
                <m:t>n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o</m:t>
                  </m:r>
                  <m:r>
                    <m:t>c</m:t>
                  </m:r>
                  <m:r>
                    <m:t>k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i</m:t>
                  </m:r>
                  <m:r>
                    <m:t>n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/</m:t>
              </m:r>
              <m:r>
                <m:t>60</m:t>
              </m:r>
            </m:den>
          </m:f>
          <m:r>
            <m:t> 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L</m:t>
              </m:r>
              <m:r>
                <m:rPr>
                  <m:sty m:val="p"/>
                </m:rPr>
                <m:t> 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×</m:t>
              </m:r>
              <m:sSup>
                <m:e>
                  <m:r>
                    <m:t>10</m:t>
                  </m:r>
                </m:e>
                <m:sup>
                  <m:r>
                    <m:t>6</m:t>
                  </m:r>
                </m:sup>
              </m:sSup>
            </m:num>
            <m:den>
              <m:sSub>
                <m:e>
                  <m:r>
                    <m:t>V</m:t>
                  </m:r>
                </m:e>
                <m:sub>
                  <m:r>
                    <m:t>w</m:t>
                  </m:r>
                  <m:r>
                    <m:t>a</m:t>
                  </m:r>
                  <m:r>
                    <m:t>t</m:t>
                  </m:r>
                  <m:r>
                    <m:t>e</m:t>
                  </m:r>
                  <m:r>
                    <m:t>r</m:t>
                  </m:r>
                </m:sub>
              </m:sSub>
            </m:den>
          </m:f>
          <m:r>
            <m:t>  </m:t>
          </m:r>
          <m:d>
            <m:dPr>
              <m:begChr m:val="["/>
              <m:endChr m:val="]"/>
              <m:sepChr m:val=""/>
              <m:grow/>
            </m:dPr>
            <m:e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 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 </m:t>
              </m:r>
              <m:sSup>
                <m:e>
                  <m:r>
                    <m:rPr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1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Keep c below about 150 mg N L⁻¹ to limit the electrical-conductivity rise at the emitter and the</w:t>
      </w:r>
      <w:r>
        <w:t xml:space="preserve"> </w:t>
      </w:r>
      <w:r>
        <w:t xml:space="preserve">risk of precipitation in the lines.</w:t>
      </w:r>
    </w:p>
    <w:bookmarkEnd w:id="79"/>
    <w:bookmarkStart w:id="80" w:name="the-quarterhalfquarter-schedule"/>
    <w:p>
      <w:pPr>
        <w:pStyle w:val="Heading3"/>
      </w:pPr>
      <w:r>
        <w:rPr>
          <w:rStyle w:val="SectionNumber"/>
        </w:rPr>
        <w:t xml:space="preserve">0.12.3</w:t>
      </w:r>
      <w:r>
        <w:tab/>
      </w:r>
      <w:r>
        <w:t xml:space="preserve">12.3 The quarter–half–quarter schedule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Fraction of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Fills the network and starts the bulb, so solute enters wet soil rather than an advancing dry front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Middle 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Inject at R_inj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Places the pulse in the body of the bulb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 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water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Flushes the lines; keeps the pulse central rather than at the perimeter</w:t>
            </w:r>
          </w:p>
        </w:tc>
      </w:tr>
    </w:tbl>
    <w:p>
      <w:pPr>
        <w:pStyle w:val="BodyText"/>
      </w:pPr>
      <w:r>
        <w:rPr>
          <w:bCs/>
          <w:b/>
        </w:rPr>
        <w:t xml:space="preserve">Do not extend the flush.</w:t>
      </w:r>
      <w:r>
        <w:t xml:space="preserve"> </w:t>
      </w:r>
      <w:r>
        <w:t xml:space="preserve">A long final rinse drives nitrate toward the wetting front, which is at</w:t>
      </w:r>
      <w:r>
        <w:t xml:space="preserve"> </w:t>
      </w:r>
      <w:r>
        <w:t xml:space="preserve">or beyond the root depth in most designs. This is the direct link between the fertigation schedule</w:t>
      </w:r>
      <w:r>
        <w:t xml:space="preserve"> </w:t>
      </w:r>
      <w:r>
        <w:t xml:space="preserve">and the bulb depth computed in Section 10.</w:t>
      </w:r>
    </w:p>
    <w:bookmarkEnd w:id="80"/>
    <w:bookmarkStart w:id="81" w:name="solute-transport-for-the-numerical-stage"/>
    <w:p>
      <w:pPr>
        <w:pStyle w:val="Heading3"/>
      </w:pPr>
      <w:r>
        <w:rPr>
          <w:rStyle w:val="SectionNumber"/>
        </w:rPr>
        <w:t xml:space="preserve">0.12.4</w:t>
      </w:r>
      <w:r>
        <w:tab/>
      </w:r>
      <w:r>
        <w:t xml:space="preserve">12.4 Solute transport, for the numerical stage</w:t>
      </w:r>
    </w:p>
    <w:p>
      <w:pPr>
        <w:pStyle w:val="FirstParagraph"/>
      </w:pPr>
      <w:r>
        <w:t xml:space="preserve">The Workbench does not solve transport. When you move to a numerical model, the companion equation</w:t>
      </w:r>
      <w:r>
        <w:t xml:space="preserve"> </w:t>
      </w:r>
      <w:r>
        <w:t xml:space="preserve">to Richards in the same axisymmetric domain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  <m:r>
                    <m:t>c</m:t>
                  </m:r>
                </m:e>
              </m:d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+</m:t>
          </m:r>
          <m:r>
            <m:t>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s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∇</m:t>
          </m:r>
          <m:r>
            <m:t>​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  <m:r>
                <m:rPr>
                  <m:sty m:val="b"/>
                </m:rPr>
                <m:t>D</m:t>
              </m:r>
              <m:r>
                <m:rPr>
                  <m:sty m:val="p"/>
                </m:rPr>
                <m:t>∇</m:t>
              </m:r>
              <m:r>
                <m:t>c</m:t>
              </m:r>
            </m:e>
          </m:d>
          <m:r>
            <m:rPr>
              <m:sty m:val="p"/>
            </m:rPr>
            <m:t>−</m:t>
          </m:r>
          <m:r>
            <m:rPr>
              <m:sty m:val="p"/>
            </m:rPr>
            <m:t>∇</m:t>
          </m:r>
          <m:r>
            <m:t>​</m:t>
          </m:r>
          <m:r>
            <m:rPr>
              <m:sty m:val="p"/>
            </m:rPr>
            <m:t>⋅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b"/>
                </m:rPr>
                <m:t>q</m:t>
              </m:r>
              <m:r>
                <m:t>c</m:t>
              </m:r>
            </m:e>
          </m:d>
          <m:r>
            <m:rPr>
              <m:sty m:val="p"/>
            </m:rPr>
            <m:t>−</m:t>
          </m:r>
          <m:r>
            <m:t>S</m:t>
          </m:r>
          <m:r>
            <m:t> </m:t>
          </m:r>
          <m:sSub>
            <m:e>
              <m:r>
                <m:t>c</m:t>
              </m:r>
            </m:e>
            <m:sub>
              <m:r>
                <m:t>r</m:t>
              </m:r>
            </m:sub>
          </m:sSub>
        </m:oMath>
      </m:oMathPara>
    </w:p>
    <w:p>
      <w:pPr>
        <w:pStyle w:val="FirstParagraph"/>
      </w:pPr>
      <w:r>
        <w:t xml:space="preserve">with the nitrogen chain urea → NH₄⁺ (sorbed, distribution coefficient K_d) → NO₃⁻ (mobile) as</w:t>
      </w:r>
      <w:r>
        <w:t xml:space="preserve"> </w:t>
      </w:r>
      <w:r>
        <w:t xml:space="preserve">first-order transformations.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numerical-methods"/>
    <w:p>
      <w:pPr>
        <w:pStyle w:val="Heading2"/>
      </w:pPr>
      <w:r>
        <w:rPr>
          <w:rStyle w:val="SectionNumber"/>
        </w:rPr>
        <w:t xml:space="preserve">0.13</w:t>
      </w:r>
      <w:r>
        <w:tab/>
      </w:r>
      <w:r>
        <w:t xml:space="preserve">13. Numerical methods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Bisection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Distal head in each lateral and manifold march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 iterations, bracket [0.05, 400]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Newton–Raphson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Wooding radius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 iterations from r = 1 cm, floor 10⁻⁴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Log-spaced quadrature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Matric flux potential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intervals, |h| from 10⁻² to 10⁵ cm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Two-point log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Lateral equivalent exponent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 and 1.25h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Forward Euler, daily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Root-zone depletion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Δt = 1 d</w:t>
            </w:r>
          </w:p>
        </w:tc>
      </w:tr>
    </w:tbl>
    <w:p>
      <w:pPr>
        <w:pStyle w:val="BodyText"/>
      </w:pPr>
      <w:r>
        <w:t xml:space="preserve">Bisection is used in preference to Newton for the network because the derivative is not available</w:t>
      </w:r>
      <w:r>
        <w:t xml:space="preserve"> </w:t>
      </w:r>
      <w:r>
        <w:t xml:space="preserve">in closed form and monotonicity guarantees convergence without a good initial guess. Iteration</w:t>
      </w:r>
      <w:r>
        <w:t xml:space="preserve"> </w:t>
      </w:r>
      <w:r>
        <w:t xml:space="preserve">counts are set far beyond convergence because the cost is negligible in a browser.</w:t>
      </w:r>
    </w:p>
    <w:p>
      <w:r>
        <w:pict>
          <v:rect style="width:0;height:1.5pt" o:hralign="center" o:hrstd="t" o:hr="t"/>
        </w:pict>
      </w:r>
    </w:p>
    <w:bookmarkEnd w:id="83"/>
    <w:bookmarkStart w:id="87" w:name="assumptions-and-what-is-not-literature"/>
    <w:p>
      <w:pPr>
        <w:pStyle w:val="Heading2"/>
      </w:pPr>
      <w:r>
        <w:rPr>
          <w:rStyle w:val="SectionNumber"/>
        </w:rPr>
        <w:t xml:space="preserve">0.14</w:t>
      </w:r>
      <w:r>
        <w:tab/>
      </w:r>
      <w:r>
        <w:t xml:space="preserve">14. Assumptions, and what is not literature</w:t>
      </w:r>
    </w:p>
    <w:bookmarkStart w:id="84" w:name="physical-assumptions"/>
    <w:p>
      <w:pPr>
        <w:pStyle w:val="Heading3"/>
      </w:pPr>
      <w:r>
        <w:rPr>
          <w:rStyle w:val="SectionNumber"/>
        </w:rPr>
        <w:t xml:space="preserve">0.14.1</w:t>
      </w:r>
      <w:r>
        <w:tab/>
      </w:r>
      <w:r>
        <w:t xml:space="preserve">14.1 Physical assumptions</w:t>
      </w:r>
    </w:p>
    <w:p>
      <w:pPr>
        <w:numPr>
          <w:ilvl w:val="0"/>
          <w:numId w:val="1005"/>
        </w:numPr>
        <w:pStyle w:val="Compact"/>
      </w:pPr>
      <w:r>
        <w:t xml:space="preserve">Water at 20 °C throughout; ν = 1.003 × 10⁻⁶ m² s⁻¹.</w:t>
      </w:r>
    </w:p>
    <w:p>
      <w:pPr>
        <w:numPr>
          <w:ilvl w:val="0"/>
          <w:numId w:val="1005"/>
        </w:numPr>
        <w:pStyle w:val="Compact"/>
      </w:pPr>
      <w:r>
        <w:t xml:space="preserve">Soil homogeneous, isotropic, non-hysteretic. No layering, no preferential flow, no</w:t>
      </w:r>
      <w:r>
        <w:t xml:space="preserve"> </w:t>
      </w:r>
      <w:r>
        <w:t xml:space="preserve">shrink–swell.</w:t>
      </w:r>
    </w:p>
    <w:p>
      <w:pPr>
        <w:numPr>
          <w:ilvl w:val="0"/>
          <w:numId w:val="1005"/>
        </w:numPr>
        <w:pStyle w:val="Compact"/>
      </w:pPr>
      <w:r>
        <w:t xml:space="preserve">Steady-state hydraulics; no water-hammer, no fill or drain transients.</w:t>
      </w:r>
    </w:p>
    <w:p>
      <w:pPr>
        <w:numPr>
          <w:ilvl w:val="0"/>
          <w:numId w:val="1005"/>
        </w:numPr>
        <w:pStyle w:val="Compact"/>
      </w:pPr>
      <w:r>
        <w:t xml:space="preserve">Emitters characterised entirely by (qₙ, hₙ, x, CV); no clogging, no temperature sensitivity.</w:t>
      </w:r>
    </w:p>
    <w:p>
      <w:pPr>
        <w:numPr>
          <w:ilvl w:val="0"/>
          <w:numId w:val="1005"/>
        </w:numPr>
        <w:pStyle w:val="Compact"/>
      </w:pPr>
      <w:r>
        <w:t xml:space="preserve">Uniform emitter spacing and a single lateral diameter per block.</w:t>
      </w:r>
    </w:p>
    <w:p>
      <w:pPr>
        <w:numPr>
          <w:ilvl w:val="0"/>
          <w:numId w:val="1005"/>
        </w:numPr>
        <w:pStyle w:val="Compact"/>
      </w:pPr>
      <w:r>
        <w:t xml:space="preserve">The bulb is a half-ellipsoid, symmetric about the emitter.</w:t>
      </w:r>
    </w:p>
    <w:p>
      <w:pPr>
        <w:numPr>
          <w:ilvl w:val="0"/>
          <w:numId w:val="1005"/>
        </w:numPr>
        <w:pStyle w:val="Compact"/>
      </w:pPr>
      <w:r>
        <w:t xml:space="preserve">Rainfall is spread uniformly within each month, and all of it is effective.</w:t>
      </w:r>
    </w:p>
    <w:p>
      <w:pPr>
        <w:numPr>
          <w:ilvl w:val="0"/>
          <w:numId w:val="1005"/>
        </w:numPr>
        <w:pStyle w:val="Compact"/>
      </w:pPr>
      <w:r>
        <w:t xml:space="preserve">No capillary rise from a water table; no runoff.</w:t>
      </w:r>
    </w:p>
    <w:bookmarkEnd w:id="84"/>
    <w:bookmarkStart w:id="85" w:name="X345939802f3072c14f1bbcbfdf8106f9be9b171"/>
    <w:p>
      <w:pPr>
        <w:pStyle w:val="Heading3"/>
      </w:pPr>
      <w:r>
        <w:rPr>
          <w:rStyle w:val="SectionNumber"/>
        </w:rPr>
        <w:t xml:space="preserve">0.14.2</w:t>
      </w:r>
      <w:r>
        <w:tab/>
      </w:r>
      <w:r>
        <w:t xml:space="preserve">14.2 Departures from the cited sources — stated explicitly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Departure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TAW × f_w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FAO-56 Eq. 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f_w factor is an adaptation for localised irrigation, not in FAO-56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Pulsing exponents N^0.07, N^0.18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Heuristic, uncalibrated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Lateral power-law fit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numerical device to decouple manifold from lateral; not a physical law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α_eff from ∫K dh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&amp; Sully (1987)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integration is standard; feeding it to Wooding in place of α_vG is a deliberate choice, documented in Section 2.4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Capacity constraint in the 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engineering constraint added to FAO-56’s unconstrained balance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Overlap 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Exact for the assumed half-ellipsoid, but the ellipsoid itself is an idealisation</w:t>
            </w:r>
          </w:p>
        </w:tc>
      </w:tr>
    </w:tbl>
    <w:bookmarkEnd w:id="85"/>
    <w:bookmarkStart w:id="86" w:name="validity-boundaries"/>
    <w:p>
      <w:pPr>
        <w:pStyle w:val="Heading3"/>
      </w:pPr>
      <w:r>
        <w:rPr>
          <w:rStyle w:val="SectionNumber"/>
        </w:rPr>
        <w:t xml:space="preserve">0.14.3</w:t>
      </w:r>
      <w:r>
        <w:tab/>
      </w:r>
      <w:r>
        <w:t xml:space="preserve">14.3 Validity boundaries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Schwartzman &amp; Zur</w:t>
      </w:r>
      <w:r>
        <w:t xml:space="preserve"> </w:t>
      </w:r>
      <w:r>
        <w:t xml:space="preserve">was fitted on mineral field soils. On wood fibre, peat or engineered</w:t>
      </w:r>
      <w:r>
        <w:t xml:space="preserve"> </w:t>
      </w:r>
      <w:r>
        <w:t xml:space="preserve">substrates the coefficients are very likely wrong even with correct van Genuchten parameters.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Wooding</w:t>
      </w:r>
      <w:r>
        <w:t xml:space="preserve"> </w:t>
      </w:r>
      <w:r>
        <w:t xml:space="preserve">is steady-state, so r_w is an upper bound for short sets. Run the numerical model with</w:t>
      </w:r>
      <w:r>
        <w:t xml:space="preserve"> </w:t>
      </w:r>
      <w:r>
        <w:t xml:space="preserve">both a small observed r₀ and the steady r_w as bounding cases.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Emission uniformity</w:t>
      </w:r>
      <w:r>
        <w:t xml:space="preserve"> </w:t>
      </w:r>
      <w:r>
        <w:t xml:space="preserve">is steady-state; short sets have materially lower real uniformity, which</w:t>
      </w:r>
      <w:r>
        <w:t xml:space="preserve"> </w:t>
      </w:r>
      <w:r>
        <w:t xml:space="preserve">is why the minimum set duration check exists.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88" w:name="references"/>
    <w:p>
      <w:pPr>
        <w:pStyle w:val="Heading2"/>
      </w:pPr>
      <w:r>
        <w:rPr>
          <w:rStyle w:val="SectionNumber"/>
        </w:rPr>
        <w:t xml:space="preserve">0.15</w:t>
      </w:r>
      <w:r>
        <w:tab/>
      </w:r>
      <w:r>
        <w:t xml:space="preserve">15. References</w:t>
      </w:r>
    </w:p>
    <w:p>
      <w:pPr>
        <w:pStyle w:val="FirstParagraph"/>
      </w:pPr>
      <w:r>
        <w:t xml:space="preserve">Allen, R.G., Pereira, L.S., Raes, D. &amp; Smith, M. (1998).</w:t>
      </w:r>
      <w:r>
        <w:t xml:space="preserve"> </w:t>
      </w:r>
      <w:r>
        <w:rPr>
          <w:iCs/>
          <w:i/>
        </w:rPr>
        <w:t xml:space="preserve">Crop evapotranspiration: guidelines for</w:t>
      </w:r>
      <w:r>
        <w:rPr>
          <w:iCs/>
          <w:i/>
        </w:rPr>
        <w:t xml:space="preserve"> </w:t>
      </w:r>
      <w:r>
        <w:rPr>
          <w:iCs/>
          <w:i/>
        </w:rPr>
        <w:t xml:space="preserve">computing crop water requirements.</w:t>
      </w:r>
      <w:r>
        <w:t xml:space="preserve"> </w:t>
      </w:r>
      <w:r>
        <w:t xml:space="preserve">FAO Irrigation and Drainage Paper 56. FAO, Rome.</w:t>
      </w:r>
    </w:p>
    <w:p>
      <w:pPr>
        <w:pStyle w:val="BodyText"/>
      </w:pPr>
      <w:r>
        <w:t xml:space="preserve">Carsel, R.F. &amp; Parrish, R.S. (1988). Developing joint probability distributions of soil water</w:t>
      </w:r>
      <w:r>
        <w:t xml:space="preserve"> </w:t>
      </w:r>
      <w:r>
        <w:t xml:space="preserve">retention characteristics.</w:t>
      </w:r>
      <w:r>
        <w:t xml:space="preserve"> </w:t>
      </w:r>
      <w:r>
        <w:rPr>
          <w:iCs/>
          <w:i/>
        </w:rPr>
        <w:t xml:space="preserve">Water Resources Research</w:t>
      </w:r>
      <w:r>
        <w:t xml:space="preserve">, 24(5), 755–769.</w:t>
      </w:r>
    </w:p>
    <w:p>
      <w:pPr>
        <w:pStyle w:val="BodyText"/>
      </w:pPr>
      <w:r>
        <w:t xml:space="preserve">Christiansen, J.E. (1942).</w:t>
      </w:r>
      <w:r>
        <w:t xml:space="preserve"> </w:t>
      </w:r>
      <w:r>
        <w:rPr>
          <w:iCs/>
          <w:i/>
        </w:rPr>
        <w:t xml:space="preserve">Irrigation by sprinkling.</w:t>
      </w:r>
      <w:r>
        <w:t xml:space="preserve"> </w:t>
      </w:r>
      <w:r>
        <w:t xml:space="preserve">California Agricultural Experiment Station</w:t>
      </w:r>
      <w:r>
        <w:t xml:space="preserve"> </w:t>
      </w:r>
      <w:r>
        <w:t xml:space="preserve">Bulletin 670.</w:t>
      </w:r>
    </w:p>
    <w:p>
      <w:pPr>
        <w:pStyle w:val="BodyText"/>
      </w:pPr>
      <w:r>
        <w:t xml:space="preserve">Keller, J. &amp; Karmeli, D. (1974). Trickle irrigation design parameters.</w:t>
      </w:r>
      <w:r>
        <w:t xml:space="preserve"> </w:t>
      </w:r>
      <w:r>
        <w:rPr>
          <w:iCs/>
          <w:i/>
        </w:rPr>
        <w:t xml:space="preserve">Transactions of the ASAE</w:t>
      </w:r>
      <w:r>
        <w:t xml:space="preserve">,</w:t>
      </w:r>
      <w:r>
        <w:t xml:space="preserve"> </w:t>
      </w:r>
      <w:r>
        <w:t xml:space="preserve">17(4), 678–684.</w:t>
      </w:r>
    </w:p>
    <w:p>
      <w:pPr>
        <w:pStyle w:val="BodyText"/>
      </w:pPr>
      <w:r>
        <w:t xml:space="preserve">Mualem, Y. (1976). A new model for predicting the hydraulic conductivity of unsaturated porous</w:t>
      </w:r>
      <w:r>
        <w:t xml:space="preserve"> </w:t>
      </w:r>
      <w:r>
        <w:t xml:space="preserve">media.</w:t>
      </w:r>
      <w:r>
        <w:t xml:space="preserve"> </w:t>
      </w:r>
      <w:r>
        <w:rPr>
          <w:iCs/>
          <w:i/>
        </w:rPr>
        <w:t xml:space="preserve">Water Resources Research</w:t>
      </w:r>
      <w:r>
        <w:t xml:space="preserve">, 12(3), 513–522.</w:t>
      </w:r>
    </w:p>
    <w:p>
      <w:pPr>
        <w:pStyle w:val="BodyText"/>
      </w:pPr>
      <w:r>
        <w:t xml:space="preserve">Schwartzman, M. &amp; Zur, B. (1986). Emitter spacing and geometry of wetted soil volume.</w:t>
      </w:r>
      <w:r>
        <w:t xml:space="preserve"> </w:t>
      </w:r>
      <w:r>
        <w:rPr>
          <w:iCs/>
          <w:i/>
        </w:rPr>
        <w:t xml:space="preserve">Journal of</w:t>
      </w:r>
      <w:r>
        <w:rPr>
          <w:iCs/>
          <w:i/>
        </w:rPr>
        <w:t xml:space="preserve"> </w:t>
      </w:r>
      <w:r>
        <w:rPr>
          <w:iCs/>
          <w:i/>
        </w:rPr>
        <w:t xml:space="preserve">Irrigation and Drainage Engineering</w:t>
      </w:r>
      <w:r>
        <w:t xml:space="preserve">, 112(3), 242–253.</w:t>
      </w:r>
    </w:p>
    <w:p>
      <w:pPr>
        <w:pStyle w:val="BodyText"/>
      </w:pPr>
      <w:r>
        <w:t xml:space="preserve">Swamee, P.K. &amp; Jain, A.K. (1976). Explicit equations for pipe-flow problems.</w:t>
      </w:r>
      <w:r>
        <w:t xml:space="preserve"> </w:t>
      </w:r>
      <w:r>
        <w:rPr>
          <w:iCs/>
          <w:i/>
        </w:rPr>
        <w:t xml:space="preserve">Journal of the</w:t>
      </w:r>
      <w:r>
        <w:rPr>
          <w:iCs/>
          <w:i/>
        </w:rPr>
        <w:t xml:space="preserve"> </w:t>
      </w:r>
      <w:r>
        <w:rPr>
          <w:iCs/>
          <w:i/>
        </w:rPr>
        <w:t xml:space="preserve">Hydraulics Division ASCE</w:t>
      </w:r>
      <w:r>
        <w:t xml:space="preserve">, 102(5), 657–664.</w:t>
      </w:r>
    </w:p>
    <w:p>
      <w:pPr>
        <w:pStyle w:val="BodyText"/>
      </w:pPr>
      <w:r>
        <w:t xml:space="preserve">van Genuchten, M.Th. (1980). A closed-form equation for predicting the hydraulic conductivity of</w:t>
      </w:r>
      <w:r>
        <w:t xml:space="preserve"> </w:t>
      </w:r>
      <w:r>
        <w:t xml:space="preserve">unsaturated soils.</w:t>
      </w:r>
      <w:r>
        <w:t xml:space="preserve"> </w:t>
      </w:r>
      <w:r>
        <w:rPr>
          <w:iCs/>
          <w:i/>
        </w:rPr>
        <w:t xml:space="preserve">Soil Science Society of America Journal</w:t>
      </w:r>
      <w:r>
        <w:t xml:space="preserve">, 44(5), 892–898.</w:t>
      </w:r>
    </w:p>
    <w:p>
      <w:pPr>
        <w:pStyle w:val="BodyText"/>
      </w:pPr>
      <w:r>
        <w:t xml:space="preserve">White, I. &amp; Sully, M.J. (1987). Macroscopic and microscopic capillary length and time scales from</w:t>
      </w:r>
      <w:r>
        <w:t xml:space="preserve"> </w:t>
      </w:r>
      <w:r>
        <w:t xml:space="preserve">field infiltration.</w:t>
      </w:r>
      <w:r>
        <w:t xml:space="preserve"> </w:t>
      </w:r>
      <w:r>
        <w:rPr>
          <w:iCs/>
          <w:i/>
        </w:rPr>
        <w:t xml:space="preserve">Water Resources Research</w:t>
      </w:r>
      <w:r>
        <w:t xml:space="preserve">, 23(8), 1514–1522.</w:t>
      </w:r>
    </w:p>
    <w:p>
      <w:pPr>
        <w:pStyle w:val="BodyText"/>
      </w:pPr>
      <w:r>
        <w:t xml:space="preserve">Wooding, R.A. (1968). Steady infiltration from a shallow circular pond.</w:t>
      </w:r>
      <w:r>
        <w:t xml:space="preserve"> </w:t>
      </w:r>
      <w:r>
        <w:rPr>
          <w:iCs/>
          <w:i/>
        </w:rPr>
        <w:t xml:space="preserve">Water Resources Research</w:t>
      </w:r>
      <w:r>
        <w:t xml:space="preserve">,</w:t>
      </w:r>
      <w:r>
        <w:t xml:space="preserve"> </w:t>
      </w:r>
      <w:r>
        <w:t xml:space="preserve">4(6), 1259–1273.</w:t>
      </w:r>
    </w:p>
    <w:bookmarkEnd w:id="8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updateFields w:val="true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Drip Irrigation Design Workbench</dc:title>
  <dc:creator/>
  <cp:keywords/>
  <dcterms:created xsi:type="dcterms:W3CDTF">2026-07-31T16:45:07Z</dcterms:created>
  <dcterms:modified xsi:type="dcterms:W3CDTF">2026-07-31T16:45:07Z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31 July 2026</vt:lpwstr>
  </property>
  <property fmtid="{D5CDD505-2E9C-101B-9397-08002B2CF9AE}" pid="3" name="subtitle">
    <vt:lpwstr>Manual 2 — Theory and Equations</vt:lpwstr>
  </property>
</Properties>
</file>