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guía-rápida-para-el-equipo"/>
    <w:p>
      <w:pPr>
        <w:pStyle w:val="Heading1"/>
      </w:pPr>
      <w:r>
        <w:t xml:space="preserve">Guía rápida para el equipo</w:t>
      </w:r>
    </w:p>
    <w:p>
      <w:pPr>
        <w:pStyle w:val="FirstParagraph"/>
      </w:pPr>
      <w:r>
        <w:t xml:space="preserve">Sistema Integral de Comedores · AICM · Primera versión de desarrollo</w:t>
      </w:r>
    </w:p>
    <w:p>
      <w:pPr>
        <w:pStyle w:val="BodyText"/>
      </w:pPr>
      <w:r>
        <w:t xml:space="preserve">Dirigida al responsable del proyecto y sus dos compañeros. Corte documental: 21 de octubre de 2026. Las imágenes son ilustraciones de apoyo, no capturas de la aplicación ni evidencia de una instalación en otros equipos.</w:t>
      </w:r>
    </w:p>
    <w:bookmarkStart w:id="23" w:name="qué-estamos-construyendo"/>
    <w:p>
      <w:pPr>
        <w:pStyle w:val="Heading2"/>
      </w:pPr>
      <w:r>
        <w:t xml:space="preserve">1. Qué estamos construyendo</w:t>
      </w:r>
    </w:p>
    <w:p>
      <w:pPr>
        <w:pStyle w:val="FirstParagraph"/>
      </w:pPr>
      <w:r>
        <w:t xml:space="preserve">Una aplicación web nueva en C# y ASP.NET Core, basada en los procesos y pantallas del sistema VB6. El primer incremento permite acceso, consulta de empleados ficticios, registro de consumos y reporte. Se ejecuta en el navegador; no requiere trasladar las pantallas VB6 literalmente.</w:t>
      </w:r>
    </w:p>
    <w:p>
      <w:pPr>
        <w:pStyle w:val="BodyText"/>
      </w:pPr>
      <w:r>
        <w:t xml:space="preserve">Estado comprobado: el código compiló sin errores ni advertencias en el entorno de nube; pasaron 13 comprobaciones con PostgreSQL y una prueba HTTP de acceso, registro y filtros. En el equipo Windows mostrado se comprobó el SDK, se abrió VSCodium, se conectó pgAdmin, se creó la base y se abrió la carpeta del proyecto. Todavía no se ha confirmado el primer arranque de la aplicación en ese equipo.</w:t>
      </w:r>
    </w:p>
    <w:p>
      <w:pPr>
        <w:pStyle w:val="CaptionedFigure"/>
      </w:pPr>
      <w:r>
        <w:drawing>
          <wp:inline>
            <wp:extent cx="5334000" cy="2185458"/>
            <wp:effectExtent b="0" l="0" r="0" t="0"/>
            <wp:docPr descr="Herramientas instaladas y su función" title="" id="21" name="Picture"/>
            <a:graphic>
              <a:graphicData uri="http://schemas.openxmlformats.org/drawingml/2006/picture">
                <pic:pic>
                  <pic:nvPicPr>
                    <pic:cNvPr descr="imagenes/01-herramienta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Herramientas instaladas y su función</w:t>
      </w:r>
    </w:p>
    <w:bookmarkEnd w:id="23"/>
    <w:bookmarkStart w:id="24" w:name="herramientas-y-comprobaciones"/>
    <w:p>
      <w:pPr>
        <w:pStyle w:val="Heading2"/>
      </w:pPr>
      <w:r>
        <w:t xml:space="preserve">2. Herramientas y comprobaciones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Herramienta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Evidencia o comprobación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.NET SDK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Compilar y ejecutar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PowerShell:</w:t>
            </w:r>
            <w:r>
              <w:t xml:space="preserve"> </w:t>
            </w:r>
            <w:r>
              <w:rPr>
                <w:rStyle w:val="VerbatimChar"/>
              </w:rPr>
              <w:t xml:space="preserve">dotnet --list-sdks</w:t>
            </w:r>
            <w:r>
              <w:t xml:space="preserve">; debe aparecer</w:t>
            </w:r>
            <w:r>
              <w:t xml:space="preserve"> </w:t>
            </w:r>
            <w:r>
              <w:rPr>
                <w:rStyle w:val="VerbatimChar"/>
              </w:rPr>
              <w:t xml:space="preserve">10.0.402</w:t>
            </w:r>
            <w:r>
              <w:t xml:space="preserve"> </w:t>
            </w:r>
            <w:r>
              <w:t xml:space="preserve">o un SDK 10 compatible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VSCodium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Editar y abrir 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ven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tests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global.json</w:t>
            </w:r>
            <w:r>
              <w:t xml:space="preserve"> </w:t>
            </w:r>
            <w:r>
              <w:t xml:space="preserve">en el explorador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Guardar los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instalado; conexión disponible en pgAdmin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pgAdmin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Administrar PostgreSQL visualmente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Servers → PostgreSQL 17 → Databases aparece</w:t>
            </w:r>
            <w:r>
              <w:t xml:space="preserve"> </w:t>
            </w:r>
            <w:r>
              <w:rPr>
                <w:rStyle w:val="VerbatimChar"/>
              </w:rPr>
              <w:t xml:space="preserve">comedores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Utilizar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local después de iniciar el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Compartir y descargar el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Rama</w:t>
            </w:r>
            <w:r>
              <w:t xml:space="preserve"> </w:t>
            </w:r>
            <w:r>
              <w:rPr>
                <w:rStyle w:val="VerbatimChar"/>
              </w:rPr>
              <w:t xml:space="preserve">desarrollo/primera-version-web</w:t>
            </w:r>
          </w:p>
        </w:tc>
      </w:tr>
    </w:tbl>
    <w:p>
      <w:pPr>
        <w:pStyle w:val="BodyText"/>
      </w:pPr>
      <w:r>
        <w:t xml:space="preserve">Los dos compañeros deben verificar estos requisitos en sus propios equipos. Una instalación en un equipo no instala las herramientas en los demás.</w:t>
      </w:r>
    </w:p>
    <w:p>
      <w:pPr>
        <w:pStyle w:val="BodyText"/>
      </w:pPr>
      <w:r>
        <w:t xml:space="preserve">Si se parte de cero: instalar el SDK desde https://dotnet.microsoft.com/download/dotnet/10.0, VSCodium desde https://vscodium.com/ y PostgreSQL desde https://www.postgresql.org/download/windows/. Elegir instaladores Windows x64 en equipos Intel/AMD de 64 bits. En PostgreSQL incluir servidor, pgAdmin y herramientas de línea de comandos; Stack Builder es opcional y no se necesita para esta demostración. Conservar la contraseña de postgres de forma privada y comprobar el puerto; el script espera 5432.</w:t>
      </w:r>
    </w:p>
    <w:p>
      <w:pPr>
        <w:pStyle w:val="BodyText"/>
      </w:pPr>
      <w:r>
        <w:t xml:space="preserve">Visual Studio 2019 se conserva para proyectos anteriores; no abre este proyecto .NET 10. No hacen falta extensiones de depuración para ejecutar la guía.</w:t>
      </w:r>
    </w:p>
    <w:bookmarkEnd w:id="24"/>
    <w:bookmarkStart w:id="25" w:name="descargar-y-abrir-el-proyecto"/>
    <w:p>
      <w:pPr>
        <w:pStyle w:val="Heading2"/>
      </w:pPr>
      <w:r>
        <w:t xml:space="preserve">3. Descargar y abrir el proyecto</w:t>
      </w:r>
    </w:p>
    <w:p>
      <w:pPr>
        <w:pStyle w:val="Compact"/>
        <w:numPr>
          <w:ilvl w:val="0"/>
          <w:numId w:val="1001"/>
        </w:numPr>
      </w:pPr>
      <w:r>
        <w:t xml:space="preserve">Iniciar sesión en GitHub con una cuenta que tenga acceso al repositorio.</w:t>
      </w:r>
    </w:p>
    <w:p>
      <w:pPr>
        <w:pStyle w:val="Compact"/>
        <w:numPr>
          <w:ilvl w:val="0"/>
          <w:numId w:val="1001"/>
        </w:numPr>
      </w:pPr>
      <w:r>
        <w:t xml:space="preserve">Abrir https://github.com/hmunoz-gdi/comedoresWEB/tree/desarrollo/primera-version-web.</w:t>
      </w:r>
    </w:p>
    <w:p>
      <w:pPr>
        <w:pStyle w:val="Compact"/>
        <w:numPr>
          <w:ilvl w:val="0"/>
          <w:numId w:val="1001"/>
        </w:numPr>
      </w:pPr>
      <w:r>
        <w:t xml:space="preserve">Seleccionar Code → Download ZIP.</w:t>
      </w:r>
    </w:p>
    <w:p>
      <w:pPr>
        <w:pStyle w:val="Compact"/>
        <w:numPr>
          <w:ilvl w:val="0"/>
          <w:numId w:val="1001"/>
        </w:numPr>
      </w:pPr>
      <w:r>
        <w:t xml:space="preserve">En Windows: botón derecho sobre el ZIP → Extraer todo. Trabajar en una carpeta del usuario, por ejemplo Documentos. No ejecutar dentro del ZIP.</w:t>
      </w:r>
    </w:p>
    <w:p>
      <w:pPr>
        <w:pStyle w:val="Compact"/>
        <w:numPr>
          <w:ilvl w:val="0"/>
          <w:numId w:val="1001"/>
        </w:numPr>
      </w:pPr>
      <w:r>
        <w:t xml:space="preserve">En VSCodium: File → Open Folder. Elegir la carpeta que contiene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LEEME-WINDOWS.md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 aparece Restricted Mode, usar Manage → Trust para esta carpeta después de comprobar que corresponde al proyecto descargado. No es necesario abrir VSCodium como administrador.</w:t>
      </w:r>
    </w:p>
    <w:p>
      <w:pPr>
        <w:pStyle w:val="FirstParagraph"/>
      </w:pPr>
      <w:r>
        <w:t xml:space="preserve">Si GitHub muestra 404, comprobar sesión y permisos con el propietario. El ZIP es una copia: para recibir cambios posteriores habrá que descargar una nueva copia sin sobrescribir archivos propios, o usar Git en una etapa posterior.</w:t>
      </w:r>
    </w:p>
    <w:bookmarkEnd w:id="25"/>
    <w:bookmarkStart w:id="29" w:name="preparar-la-base-vacía"/>
    <w:p>
      <w:pPr>
        <w:pStyle w:val="Heading2"/>
      </w:pPr>
      <w:r>
        <w:t xml:space="preserve">4. Preparar la base vacía</w:t>
      </w:r>
    </w:p>
    <w:p>
      <w:pPr>
        <w:pStyle w:val="FirstParagraph"/>
      </w:pPr>
      <w:r>
        <w:t xml:space="preserve">En pgAdmin, conectar a PostgreSQL 17 con la contraseña local. Pulsar botón derecho en Databases → Create → Database. Nombre:</w:t>
      </w:r>
      <w:r>
        <w:t xml:space="preserve"> </w:t>
      </w:r>
      <w:r>
        <w:rPr>
          <w:rStyle w:val="VerbatimChar"/>
        </w:rPr>
        <w:t xml:space="preserve">comedores</w:t>
      </w:r>
      <w:r>
        <w:t xml:space="preserve">. Para esta prueba local, Owner:</w:t>
      </w:r>
      <w:r>
        <w:t xml:space="preserve"> </w:t>
      </w:r>
      <w:r>
        <w:rPr>
          <w:rStyle w:val="VerbatimChar"/>
        </w:rPr>
        <w:t xml:space="preserve">postgres</w:t>
      </w:r>
      <w:r>
        <w:t xml:space="preserve">. Pulsar Save. Si la base ya aparece, no crearla otra vez.</w:t>
      </w:r>
    </w:p>
    <w:p>
      <w:pPr>
        <w:pStyle w:val="BodyText"/>
      </w:pPr>
      <w:r>
        <w:t xml:space="preserve">La aplicación genera sus tablas en una base vacía durante el arranque de desarrollo. No ejecutar</w:t>
      </w:r>
      <w:r>
        <w:t xml:space="preserve"> </w:t>
      </w:r>
      <w:r>
        <w:rPr>
          <w:rStyle w:val="VerbatimChar"/>
        </w:rPr>
        <w:t xml:space="preserve">comedores2026.sql</w:t>
      </w:r>
      <w:r>
        <w:t xml:space="preserve">: pertenece al sistema anterior, usa sintaxis de SQL Server y elimina tablas antes de recrearlas. Tampoco importar todavía el catálogo real de RH.</w:t>
      </w:r>
    </w:p>
    <w:p>
      <w:pPr>
        <w:pStyle w:val="CaptionedFigure"/>
      </w:pPr>
      <w:r>
        <w:drawing>
          <wp:inline>
            <wp:extent cx="5334000" cy="2185458"/>
            <wp:effectExtent b="0" l="0" r="0" t="0"/>
            <wp:docPr descr="Recorrido del arranque local" title="" id="27" name="Picture"/>
            <a:graphic>
              <a:graphicData uri="http://schemas.openxmlformats.org/drawingml/2006/picture">
                <pic:pic>
                  <pic:nvPicPr>
                    <pic:cNvPr descr="imagenes/02-arranqu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Recorrido del arranque local</w:t>
      </w:r>
    </w:p>
    <w:bookmarkEnd w:id="29"/>
    <w:bookmarkStart w:id="30" w:name="iniciar-y-abrir-la-pantalla"/>
    <w:p>
      <w:pPr>
        <w:pStyle w:val="Heading2"/>
      </w:pPr>
      <w:r>
        <w:t xml:space="preserve">5. Iniciar y abrir la pantalla</w:t>
      </w:r>
    </w:p>
    <w:p>
      <w:pPr>
        <w:pStyle w:val="FirstParagraph"/>
      </w:pPr>
      <w:r>
        <w:t xml:space="preserve">En VSCodium seleccionar Terminal → New Terminal. La terminal debe estar en la carpeta del proyecto. Ejecutar:</w:t>
      </w:r>
    </w:p>
    <w:p>
      <w:pPr>
        <w:pStyle w:val="SourceCode"/>
      </w:pPr>
      <w:r>
        <w:rPr>
          <w:rStyle w:val="NormalTok"/>
        </w:rPr>
        <w:t xml:space="preserve">powershell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NoProfile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\scripts\iniciar-windows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El parámetro ExecutionPolicy se limita a ese proceso; no cambia la configuración permanente. Si las políticas de la empresa bloquean la ejecución, solicitar a TI un método autorizado, sin modificar las políticas corporativas.</w:t>
      </w:r>
    </w:p>
    <w:p>
      <w:pPr>
        <w:pStyle w:val="BodyText"/>
      </w:pPr>
      <w:r>
        <w:t xml:space="preserve">El script descarga dependencias y solicita dos contraseñas distintas:</w:t>
      </w:r>
    </w:p>
    <w:p>
      <w:pPr>
        <w:pStyle w:val="Compact"/>
        <w:numPr>
          <w:ilvl w:val="0"/>
          <w:numId w:val="1002"/>
        </w:numPr>
      </w:pPr>
      <w:r>
        <w:t xml:space="preserve">PostgreSQL: la elegida al instalar el servidor local para el usuario postgres.</w:t>
      </w:r>
    </w:p>
    <w:p>
      <w:pPr>
        <w:pStyle w:val="Compact"/>
        <w:numPr>
          <w:ilvl w:val="0"/>
          <w:numId w:val="1002"/>
        </w:numPr>
      </w:pPr>
      <w:r>
        <w:t xml:space="preserve">Aplicación: elegir una contraseña para la cuenta demo, de mínimo 12 caracteres, mayúscula, minúscula, número y símbolo. Guardarla de forma privada. En arranques posteriores utilizar la misma; el script no cambia la contraseña de una cuenta existente.</w:t>
      </w:r>
    </w:p>
    <w:p>
      <w:pPr>
        <w:pStyle w:val="FirstParagraph"/>
      </w:pPr>
      <w:r>
        <w:t xml:space="preserve">No aparecen caracteres al escribir: es normal. No enviar contraseñas por chat ni guardarlas en el repositorio. El script no escribe las contraseñas en archivos del proyecto; Identity guarda un hash de la contraseña de la aplicación en la base.</w:t>
      </w:r>
    </w:p>
    <w:p>
      <w:pPr>
        <w:pStyle w:val="BodyText"/>
      </w:pPr>
      <w:r>
        <w:t xml:space="preserve">Esperar</w:t>
      </w:r>
      <w:r>
        <w:t xml:space="preserve"> </w:t>
      </w:r>
      <w:r>
        <w:rPr>
          <w:rStyle w:val="VerbatimChar"/>
        </w:rPr>
        <w:t xml:space="preserve">Now listening on</w:t>
      </w:r>
      <w:r>
        <w:t xml:space="preserve">. Abrir en el navegador de ese mismo equipo:</w:t>
      </w:r>
    </w:p>
    <w:p>
      <w:pPr>
        <w:pStyle w:val="SourceCode"/>
      </w:pPr>
      <w:r>
        <w:rPr>
          <w:rStyle w:val="VerbatimChar"/>
        </w:rPr>
        <w:t xml:space="preserve">http://localhost:5080</w:t>
      </w:r>
    </w:p>
    <w:p>
      <w:pPr>
        <w:pStyle w:val="FirstParagraph"/>
      </w:pPr>
      <w:r>
        <w:t xml:space="preserve">Esta dirección es local a la computadora del compañero, no es un enlace público ni una vista previa de la nube. Entrar con usuario</w:t>
      </w:r>
      <w:r>
        <w:t xml:space="preserve"> </w:t>
      </w:r>
      <w:r>
        <w:rPr>
          <w:rStyle w:val="VerbatimChar"/>
        </w:rPr>
        <w:t xml:space="preserve">demo</w:t>
      </w:r>
      <w:r>
        <w:t xml:space="preserve"> </w:t>
      </w:r>
      <w:r>
        <w:t xml:space="preserve">y la contraseña de la aplicación. Mantener la terminal abierta; Ctrl+C detiene el servidor.</w:t>
      </w:r>
    </w:p>
    <w:p>
      <w:pPr>
        <w:pStyle w:val="BodyText"/>
      </w:pPr>
      <w:r>
        <w:t xml:space="preserve">El script usa un comedor simulado SUBESTACION y las 08:30 del día del equipo para probar el desayuno, aunque la hora real sea otra. Los consumos ficticios sí se guardan. Para usar la hora real, agregar</w:t>
      </w:r>
      <w:r>
        <w:t xml:space="preserve"> </w:t>
      </w:r>
      <w:r>
        <w:rPr>
          <w:rStyle w:val="VerbatimChar"/>
        </w:rPr>
        <w:t xml:space="preserve">-HoraReal</w:t>
      </w:r>
      <w:r>
        <w:t xml:space="preserve"> </w:t>
      </w:r>
      <w:r>
        <w:t xml:space="preserve">al comando; entonces aplican los horarios del comedor.</w:t>
      </w:r>
    </w:p>
    <w:bookmarkEnd w:id="30"/>
    <w:bookmarkStart w:id="34" w:name="prueba-guiada-de-diez-minutos"/>
    <w:p>
      <w:pPr>
        <w:pStyle w:val="Heading2"/>
      </w:pPr>
      <w:r>
        <w:t xml:space="preserve">6. Prueba guiada de diez minutos</w:t>
      </w:r>
    </w:p>
    <w:p>
      <w:pPr>
        <w:pStyle w:val="Compact"/>
        <w:numPr>
          <w:ilvl w:val="0"/>
          <w:numId w:val="1003"/>
        </w:numPr>
      </w:pPr>
      <w:r>
        <w:t xml:space="preserve">Entrar con la cuenta demo. Comprobar que aparece el menú.</w:t>
      </w:r>
    </w:p>
    <w:p>
      <w:pPr>
        <w:pStyle w:val="Compact"/>
        <w:numPr>
          <w:ilvl w:val="0"/>
          <w:numId w:val="1003"/>
        </w:numPr>
      </w:pPr>
      <w:r>
        <w:t xml:space="preserve">Ir a Registrar servicio y consultar el empleado ficticio</w:t>
      </w:r>
      <w:r>
        <w:t xml:space="preserve"> </w:t>
      </w:r>
      <w:r>
        <w:rPr>
          <w:rStyle w:val="VerbatimChar"/>
        </w:rPr>
        <w:t xml:space="preserve">40001</w:t>
      </w:r>
      <w:r>
        <w:t xml:space="preserve">, sin turno especial.</w:t>
      </w:r>
    </w:p>
    <w:p>
      <w:pPr>
        <w:pStyle w:val="Compact"/>
        <w:numPr>
          <w:ilvl w:val="0"/>
          <w:numId w:val="1003"/>
        </w:numPr>
      </w:pPr>
      <w:r>
        <w:t xml:space="preserve">Registrar un servicio. Si la base no tenía consumos de ese empleado en el día, debe ser el número 1.</w:t>
      </w:r>
    </w:p>
    <w:p>
      <w:pPr>
        <w:pStyle w:val="Compact"/>
        <w:numPr>
          <w:ilvl w:val="0"/>
          <w:numId w:val="1003"/>
        </w:numPr>
      </w:pPr>
      <w:r>
        <w:t xml:space="preserve">Registrar otro servicio con una nueva operación. Debe aparecer número 2 y adicional. Si ya hubo pruebas, el consecutivo será mayor.</w:t>
      </w:r>
    </w:p>
    <w:p>
      <w:pPr>
        <w:pStyle w:val="Compact"/>
        <w:numPr>
          <w:ilvl w:val="0"/>
          <w:numId w:val="1003"/>
        </w:numPr>
      </w:pPr>
      <w:r>
        <w:t xml:space="preserve">Consultar</w:t>
      </w:r>
      <w:r>
        <w:t xml:space="preserve"> </w:t>
      </w:r>
      <w:r>
        <w:rPr>
          <w:rStyle w:val="VerbatimChar"/>
        </w:rPr>
        <w:t xml:space="preserve">49001</w:t>
      </w:r>
      <w:r>
        <w:t xml:space="preserve">, con turno especial. Registrar dos consumos. El posterior al primero también se identifica como adicional, conservando turno especial Sí. No se calculan cobros ni exenciones.</w:t>
      </w:r>
    </w:p>
    <w:p>
      <w:pPr>
        <w:pStyle w:val="Compact"/>
        <w:numPr>
          <w:ilvl w:val="0"/>
          <w:numId w:val="1003"/>
        </w:numPr>
      </w:pPr>
      <w:r>
        <w:t xml:space="preserve">Abrir Reportes, seleccionar la fecha usada por la demostración y categoría Todos. Consultar SUBESTACION o GLOBAL.</w:t>
      </w:r>
    </w:p>
    <w:p>
      <w:pPr>
        <w:pStyle w:val="Compact"/>
        <w:numPr>
          <w:ilvl w:val="0"/>
          <w:numId w:val="1003"/>
        </w:numPr>
      </w:pPr>
      <w:r>
        <w:t xml:space="preserve">Ver cantidades y horas de los consumos, adicionales y turno especial; desplegar el detalle. Usar Imprimir / guardar PDF.</w:t>
      </w:r>
    </w:p>
    <w:p>
      <w:pPr>
        <w:pStyle w:val="Compact"/>
        <w:numPr>
          <w:ilvl w:val="0"/>
          <w:numId w:val="1003"/>
        </w:numPr>
      </w:pPr>
      <w:r>
        <w:t xml:space="preserve">Cerrar sesión y comprobar que las funciones vuelven a pedir acceso.</w:t>
      </w:r>
    </w:p>
    <w:p>
      <w:pPr>
        <w:pStyle w:val="FirstParagraph"/>
      </w:pPr>
      <w:r>
        <w:t xml:space="preserve">No usar números de empleados reales ni datos personales para esta demostración. No eliminar la base para reiniciar una prueba sin decidir qué datos se necesita conservar.</w:t>
      </w:r>
    </w:p>
    <w:p>
      <w:pPr>
        <w:pStyle w:val="CaptionedFigure"/>
      </w:pPr>
      <w:r>
        <w:drawing>
          <wp:inline>
            <wp:extent cx="5334000" cy="2185458"/>
            <wp:effectExtent b="0" l="0" r="0" t="0"/>
            <wp:docPr descr="Identificación de servicios adicionales" title="" id="32" name="Picture"/>
            <a:graphic>
              <a:graphicData uri="http://schemas.openxmlformats.org/drawingml/2006/picture">
                <pic:pic>
                  <pic:nvPicPr>
                    <pic:cNvPr descr="imagenes/03-regla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54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Identificación de servicios adicionales</w:t>
      </w:r>
    </w:p>
    <w:bookmarkEnd w:id="34"/>
    <w:bookmarkStart w:id="35" w:name="reglas-del-primer-incremento"/>
    <w:p>
      <w:pPr>
        <w:pStyle w:val="Heading2"/>
      </w:pPr>
      <w:r>
        <w:t xml:space="preserve">7. Reglas del primer incremento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Desayuno DYN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Comida 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Cena CEN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SUBESTACION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08:00–11:00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14:00–18:00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20:30–22:00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08:00–11:00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14:00–18:00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20:30–22:00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08:00–11:00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14:00–18:00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19:00–22:00</w:t>
            </w:r>
          </w:p>
        </w:tc>
      </w:tr>
    </w:tbl>
    <w:p>
      <w:pPr>
        <w:pStyle w:val="BodyText"/>
      </w:pPr>
      <w:r>
        <w:t xml:space="preserve">Se incluyen las horas de inicio y fin. El conteo diario atraviesa todos los comedores. Desde el segundo consumo se identifica adicional, también en turno especial. Otra área determina su calificación y cobro. No existe bloqueo por tener un consumo previo.</w:t>
      </w:r>
    </w:p>
    <w:p>
      <w:pPr>
        <w:pStyle w:val="BodyText"/>
      </w:pPr>
      <w:r>
        <w:t xml:space="preserve">Categorías: Corporativo menor de 40000; Operativo de 40000 a 48999; Mando desde 49000. La hora real se convierte a Ciudad de México. En desarrollo existen anulaciones explícitas de hora e IP.</w:t>
      </w:r>
    </w:p>
    <w:bookmarkEnd w:id="35"/>
    <w:bookmarkStart w:id="36" w:name="si-algo-falla"/>
    <w:p>
      <w:pPr>
        <w:pStyle w:val="Heading2"/>
      </w:pPr>
      <w:r>
        <w:t xml:space="preserve">8. Si algo falla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 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dotnet</w:t>
            </w:r>
            <w:r>
              <w:t xml:space="preserve"> </w:t>
            </w:r>
            <w:r>
              <w:t xml:space="preserve">no se reconoce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Cerrar y abrir VSCodium; ejecutar</w:t>
            </w:r>
            <w:r>
              <w:t xml:space="preserve"> </w:t>
            </w:r>
            <w:r>
              <w:rPr>
                <w:rStyle w:val="VerbatimChar"/>
              </w:rPr>
              <w:t xml:space="preserve">dotnet --list-sdks</w:t>
            </w:r>
            <w:r>
              <w:t xml:space="preserve">; comprobar que se instaló el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encuentra el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Comprobar que la carpeta abierta contiene</w:t>
            </w:r>
            <w:r>
              <w:t xml:space="preserve"> </w:t>
            </w:r>
            <w:r>
              <w:rPr>
                <w:rStyle w:val="VerbatimChar"/>
              </w:rPr>
              <w:t xml:space="preserve">scripts</w:t>
            </w:r>
            <w:r>
              <w:t xml:space="preserve"> </w:t>
            </w:r>
            <w:r>
              <w:t xml:space="preserve">y que se extrajo el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conecta a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conexión en pgAdmin, servicio iniciado y puerto 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Falla autenticación de 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la contraseña local; no compartirla ni desactivar la 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cuenta demo no 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su contraseña del primer arranque; no confundirla con la de postgres; no borrar la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permite registrar fuera de horario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el arranque de demostración o consultar el horario real 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navegador no abre la aplicación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que la terminal siga activa y haya mostrado</w:t>
            </w:r>
            <w:r>
              <w:t xml:space="preserve"> </w:t>
            </w:r>
            <w:r>
              <w:rPr>
                <w:rStyle w:val="VerbatimChar"/>
              </w:rPr>
              <w:t xml:space="preserve">Now listening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reporte está vacío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 fecha simulada, comedor y categoría; confirmar que hubo un registro exitoso</w:t>
            </w:r>
          </w:p>
        </w:tc>
      </w:tr>
    </w:tbl>
    <w:p>
      <w:pPr>
        <w:pStyle w:val="BodyText"/>
      </w:pPr>
      <w:r>
        <w:t xml:space="preserve">Compartir el mensaje de error sin credenciales. No se ha comprobado todavía el script PowerShell en el equipo del usuario; la siguiente sesión debe completar ese paso.</w:t>
      </w:r>
    </w:p>
    <w:bookmarkEnd w:id="36"/>
    <w:bookmarkStart w:id="37" w:name="lo-que-sigue"/>
    <w:p>
      <w:pPr>
        <w:pStyle w:val="Heading2"/>
      </w:pPr>
      <w:r>
        <w:t xml:space="preserve">9. Lo que sigue</w:t>
      </w:r>
    </w:p>
    <w:p>
      <w:pPr>
        <w:pStyle w:val="FirstParagraph"/>
      </w:pPr>
      <w:r>
        <w:t xml:space="preserve">Integración RH, significado de EMP_STATUS, validación del horario laboral individual, captura extemporánea, roles/permisos, fotos, migraciones, respaldos y despliegue institucional. En esta versión los usuarios autenticados tienen las mismas funciones. La configuración usa postgres solo para pruebas locales; definir un usuario de aplicación con permisos adecuados para despliegue.</w:t>
      </w:r>
    </w:p>
    <w:p>
      <w:pPr>
        <w:pStyle w:val="BodyText"/>
      </w:pPr>
      <w:r>
        <w:t xml:space="preserve">El stack de aplicación propuesto es de código abierto. Windows, Visual Studio 2019 y el servicio GitHub no son plataformas íntegramente de código abierto: confirmar si la instrucción institucional también abarca estaciones y alojamiento. El destino propuesto es Linux; si se requiere alojamiento libre puede evaluarse Forgejo. La licencia del código propio debe definirla la institución.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2026-10-21T19:59:33Z</dcterms:created>
  <dcterms:modified xsi:type="dcterms:W3CDTF">2026-10-21T19:59:33Z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