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44"/>
        </w:rPr>
        <w:t>User Story &amp; Wireframe Traceability Document</w:t>
      </w:r>
    </w:p>
    <w:p>
      <w:r>
        <w:rPr>
          <w:color w:val="6E7681"/>
          <w:sz w:val="22"/>
        </w:rPr>
        <w:t>Fundraising Intelligence Dashboard — Acceptance Criteria, Functional &amp; Non-Functional Testing</w:t>
      </w:r>
    </w:p>
    <w:p>
      <w:pPr>
        <w:pBdr>
          <w:bottom w:val="single" w:sz="12" w:space="1" w:color="1F2A44"/>
        </w:pBdr>
      </w:pPr>
    </w:p>
    <w:p>
      <w:r>
        <w:rPr>
          <w:color w:val="6E7681"/>
          <w:sz w:val="18"/>
        </w:rPr>
        <w:t>BA-UAT-001  ·  Skye Data Advisory  ·  Business Analyst · UAT  ·  March 15, 2026</w:t>
      </w:r>
    </w:p>
    <w:p/>
    <w:p>
      <w:pPr>
        <w:spacing w:before="280" w:after="80"/>
        <w:pBdr>
          <w:bottom w:val="single" w:sz="6" w:space="1" w:color="1F2A44"/>
        </w:pBdr>
      </w:pPr>
      <w:r>
        <w:rPr>
          <w:b/>
          <w:color w:val="1F2A44"/>
          <w:sz w:val="30"/>
        </w:rPr>
        <w:t>1. Document Purpose</w:t>
      </w:r>
    </w:p>
    <w:p>
      <w:pPr>
        <w:spacing w:after="100"/>
      </w:pPr>
      <w:r>
        <w:rPr>
          <w:i w:val="0"/>
          <w:sz w:val="20"/>
        </w:rPr>
        <w:t>This document ties every user story for the Skye Fundraising Intelligence Dashboard to its corresponding wireframe component, defines acceptance criteria, specifies functional test cases, and establishes non-functional benchmarks based on industry best practice and what leading competitors in the nonprofit analytics space deliver. It serves as the primary reference for UAT sign-off by Julie Chen (Fundraising) and Chloe Rivera (Marketing).</w:t>
      </w:r>
    </w:p>
    <w:p>
      <w:pPr>
        <w:spacing w:before="80" w:after="120"/>
        <w:ind w:left="432"/>
        <w:pBdr>
          <w:left w:val="single" w:sz="18" w:space="6" w:color="3E8A8B"/>
        </w:pBdr>
      </w:pPr>
      <w:r>
        <w:rPr>
          <w:i/>
          <w:color w:val="6E7681"/>
          <w:sz w:val="20"/>
        </w:rPr>
        <w:t>The Business Analyst's role is to bridge the gap between what stakeholders need and what developers build. Every story here was validated against the wireframes before UAT began. Acceptance criteria are written so that a stakeholder — not a developer — can judge whether the criterion is met.</w:t>
      </w:r>
    </w:p>
    <w:p>
      <w:pPr>
        <w:spacing w:before="280" w:after="80"/>
        <w:pBdr>
          <w:bottom w:val="single" w:sz="6" w:space="1" w:color="1F2A44"/>
        </w:pBdr>
      </w:pPr>
      <w:r>
        <w:rPr>
          <w:b/>
          <w:color w:val="1F2A44"/>
          <w:sz w:val="30"/>
        </w:rPr>
        <w:t>2. Stakeholder Personas</w:t>
      </w:r>
    </w:p>
    <w:p>
      <w:pPr>
        <w:spacing w:before="200" w:after="60"/>
      </w:pPr>
      <w:r>
        <w:rPr>
          <w:b/>
          <w:color w:val="3E6B8A"/>
          <w:sz w:val="24"/>
        </w:rPr>
        <w:t>Julie Chen — Director of Development &amp; Fundraising</w:t>
      </w:r>
    </w:p>
    <w:p>
      <w:pPr>
        <w:spacing w:after="100"/>
      </w:pPr>
      <w:r>
        <w:rPr>
          <w:i w:val="0"/>
          <w:sz w:val="20"/>
        </w:rPr>
        <w:t>Julie has been with the organization for 8 years and manages a portfolio of 400+ donors including 22 major donors who account for 52% of annual revenue. She runs all campaigns, manages the development team of 3, and reports directly to the Executive Director. She monitors donor retention obsessively — a 2-point drop in retention is a budget conversation.</w:t>
      </w:r>
    </w:p>
    <w:tbl>
      <w:tblGrid>
        <w:gridCol w:w="1800"/>
        <w:gridCol w:w="7560"/>
      </w:tblGrid>
      <w:tblPr>
        <w:tblStyle w:val="TableGrid"/>
        <w:tblW w:type="auto" w:w="0"/>
        <w:tblLook w:firstColumn="1" w:firstRow="1" w:lastColumn="0" w:lastRow="0" w:noHBand="0" w:noVBand="1" w:val="04A0"/>
      </w:tblPr>
      <w:tblGrid>
        <w:gridCol w:w="4536"/>
        <w:gridCol w:w="4536"/>
      </w:tblGrid>
      <w:tr>
        <w:tc>
          <w:tcPr>
            <w:tcW w:type="dxa" w:w="4536"/>
            <w:shd w:val="clear" w:color="auto" w:fill="3E6B8A"/>
          </w:tcPr>
          <w:p>
            <w:r>
              <w:rPr>
                <w:b/>
                <w:color w:val="FFFFFF"/>
                <w:sz w:val="18"/>
              </w:rPr>
              <w:t>Attribute</w:t>
            </w:r>
          </w:p>
        </w:tc>
        <w:tc>
          <w:tcPr>
            <w:tcW w:type="dxa" w:w="4536"/>
            <w:shd w:val="clear" w:color="auto" w:fill="3E6B8A"/>
          </w:tcPr>
          <w:p>
            <w:r>
              <w:rPr>
                <w:b/>
                <w:color w:val="FFFFFF"/>
                <w:sz w:val="18"/>
              </w:rPr>
              <w:t>Description</w:t>
            </w:r>
          </w:p>
        </w:tc>
      </w:tr>
      <w:tr>
        <w:tc>
          <w:tcPr>
            <w:tcW w:type="dxa" w:w="4536"/>
            <w:shd w:val="clear" w:color="auto" w:fill="F4F6F8"/>
          </w:tcPr>
          <w:p>
            <w:r>
              <w:rPr>
                <w:sz w:val="18"/>
              </w:rPr>
              <w:t>Primary Goal</w:t>
            </w:r>
          </w:p>
        </w:tc>
        <w:tc>
          <w:tcPr>
            <w:tcW w:type="dxa" w:w="4536"/>
            <w:shd w:val="clear" w:color="auto" w:fill="F4F6F8"/>
          </w:tcPr>
          <w:p>
            <w:r>
              <w:rPr>
                <w:sz w:val="18"/>
              </w:rPr>
              <w:t>Understand which campaigns and donors drive revenue so she can prioritize her team's time</w:t>
            </w:r>
          </w:p>
        </w:tc>
      </w:tr>
      <w:tr>
        <w:tc>
          <w:tcPr>
            <w:tcW w:type="dxa" w:w="4536"/>
            <w:shd w:val="clear" w:color="auto" w:fill="FFFFFF"/>
          </w:tcPr>
          <w:p>
            <w:r>
              <w:rPr>
                <w:sz w:val="18"/>
              </w:rPr>
              <w:t>Biggest Pain</w:t>
            </w:r>
          </w:p>
        </w:tc>
        <w:tc>
          <w:tcPr>
            <w:tcW w:type="dxa" w:w="4536"/>
            <w:shd w:val="clear" w:color="auto" w:fill="FFFFFF"/>
          </w:tcPr>
          <w:p>
            <w:r>
              <w:rPr>
                <w:sz w:val="18"/>
              </w:rPr>
              <w:t>Spends 3+ hours per week pulling data from the CRM manually into spreadsheets</w:t>
            </w:r>
          </w:p>
        </w:tc>
      </w:tr>
      <w:tr>
        <w:tc>
          <w:tcPr>
            <w:tcW w:type="dxa" w:w="4536"/>
            <w:shd w:val="clear" w:color="auto" w:fill="F4F6F8"/>
          </w:tcPr>
          <w:p>
            <w:r>
              <w:rPr>
                <w:sz w:val="18"/>
              </w:rPr>
              <w:t>Dashboard Needs</w:t>
            </w:r>
          </w:p>
        </w:tc>
        <w:tc>
          <w:tcPr>
            <w:tcW w:type="dxa" w:w="4536"/>
            <w:shd w:val="clear" w:color="auto" w:fill="F4F6F8"/>
          </w:tcPr>
          <w:p>
            <w:r>
              <w:rPr>
                <w:sz w:val="18"/>
              </w:rPr>
              <w:t>Donor retention trend, campaign ROI, repeat vs. new donor split, email performance by campaign</w:t>
            </w:r>
          </w:p>
        </w:tc>
      </w:tr>
      <w:tr>
        <w:tc>
          <w:tcPr>
            <w:tcW w:type="dxa" w:w="4536"/>
            <w:shd w:val="clear" w:color="auto" w:fill="FFFFFF"/>
          </w:tcPr>
          <w:p>
            <w:r>
              <w:rPr>
                <w:sz w:val="18"/>
              </w:rPr>
              <w:t>Data Literacy</w:t>
            </w:r>
          </w:p>
        </w:tc>
        <w:tc>
          <w:tcPr>
            <w:tcW w:type="dxa" w:w="4536"/>
            <w:shd w:val="clear" w:color="auto" w:fill="FFFFFF"/>
          </w:tcPr>
          <w:p>
            <w:r>
              <w:rPr>
                <w:sz w:val="18"/>
              </w:rPr>
              <w:t>High — reviews Excel models daily; understands percentages and trend lines</w:t>
            </w:r>
          </w:p>
        </w:tc>
      </w:tr>
      <w:tr>
        <w:tc>
          <w:tcPr>
            <w:tcW w:type="dxa" w:w="4536"/>
            <w:shd w:val="clear" w:color="auto" w:fill="F4F6F8"/>
          </w:tcPr>
          <w:p>
            <w:r>
              <w:rPr>
                <w:sz w:val="18"/>
              </w:rPr>
              <w:t>Trust Threshold</w:t>
            </w:r>
          </w:p>
        </w:tc>
        <w:tc>
          <w:tcPr>
            <w:tcW w:type="dxa" w:w="4536"/>
            <w:shd w:val="clear" w:color="auto" w:fill="F4F6F8"/>
          </w:tcPr>
          <w:p>
            <w:r>
              <w:rPr>
                <w:sz w:val="18"/>
              </w:rPr>
              <w:t>Very high — if a number looks wrong she will check it against the CRM before using it</w:t>
            </w:r>
          </w:p>
        </w:tc>
      </w:tr>
      <w:tr>
        <w:tc>
          <w:tcPr>
            <w:tcW w:type="dxa" w:w="4536"/>
            <w:shd w:val="clear" w:color="auto" w:fill="FFFFFF"/>
          </w:tcPr>
          <w:p>
            <w:r>
              <w:rPr>
                <w:sz w:val="18"/>
              </w:rPr>
              <w:t>Device</w:t>
            </w:r>
          </w:p>
        </w:tc>
        <w:tc>
          <w:tcPr>
            <w:tcW w:type="dxa" w:w="4536"/>
            <w:shd w:val="clear" w:color="auto" w:fill="FFFFFF"/>
          </w:tcPr>
          <w:p>
            <w:r>
              <w:rPr>
                <w:sz w:val="18"/>
              </w:rPr>
              <w:t>Desktop (Windows) at her desk; occasionally iPad in board meetings</w:t>
            </w:r>
          </w:p>
        </w:tc>
      </w:tr>
      <w:tr>
        <w:tc>
          <w:tcPr>
            <w:tcW w:type="dxa" w:w="4536"/>
            <w:shd w:val="clear" w:color="auto" w:fill="F4F6F8"/>
          </w:tcPr>
          <w:p>
            <w:r>
              <w:rPr>
                <w:sz w:val="18"/>
              </w:rPr>
              <w:t>Key Quote</w:t>
            </w:r>
          </w:p>
        </w:tc>
        <w:tc>
          <w:tcPr>
            <w:tcW w:type="dxa" w:w="4536"/>
            <w:shd w:val="clear" w:color="auto" w:fill="F4F6F8"/>
          </w:tcPr>
          <w:p>
            <w:r>
              <w:rPr>
                <w:sz w:val="18"/>
              </w:rPr>
              <w:t xml:space="preserve">'I need to walk into a board meeting and answer: are we growing, and why?' </w:t>
            </w:r>
          </w:p>
        </w:tc>
      </w:tr>
    </w:tbl>
    <w:p/>
    <w:p>
      <w:pPr>
        <w:spacing w:before="200" w:after="60"/>
      </w:pPr>
      <w:r>
        <w:rPr>
          <w:b/>
          <w:color w:val="5A3E8A"/>
          <w:sz w:val="24"/>
        </w:rPr>
        <w:t>Chloe Rivera — Director of Marketing &amp; Communications</w:t>
      </w:r>
    </w:p>
    <w:p>
      <w:pPr>
        <w:spacing w:after="100"/>
      </w:pPr>
      <w:r>
        <w:rPr>
          <w:i w:val="0"/>
          <w:sz w:val="20"/>
        </w:rPr>
        <w:t>Chloe joined 2 years ago from a digital marketing agency. She owns email campaigns, social media, and brand. She does not control fundraising strategy but her campaigns drive email acquisition and click-through. She needs to prove marketing's contribution to fundraising ROI to justify her team's budget.</w:t>
      </w:r>
    </w:p>
    <w:tbl>
      <w:tblGrid>
        <w:gridCol w:w="1800"/>
        <w:gridCol w:w="7560"/>
      </w:tblGrid>
      <w:tblPr>
        <w:tblStyle w:val="TableGrid"/>
        <w:tblW w:type="auto" w:w="0"/>
        <w:tblLook w:firstColumn="1" w:firstRow="1" w:lastColumn="0" w:lastRow="0" w:noHBand="0" w:noVBand="1" w:val="04A0"/>
      </w:tblPr>
      <w:tblGrid>
        <w:gridCol w:w="4536"/>
        <w:gridCol w:w="4536"/>
      </w:tblGrid>
      <w:tr>
        <w:tc>
          <w:tcPr>
            <w:tcW w:type="dxa" w:w="4536"/>
            <w:shd w:val="clear" w:color="auto" w:fill="5A3E8A"/>
          </w:tcPr>
          <w:p>
            <w:r>
              <w:rPr>
                <w:b/>
                <w:color w:val="FFFFFF"/>
                <w:sz w:val="18"/>
              </w:rPr>
              <w:t>Attribute</w:t>
            </w:r>
          </w:p>
        </w:tc>
        <w:tc>
          <w:tcPr>
            <w:tcW w:type="dxa" w:w="4536"/>
            <w:shd w:val="clear" w:color="auto" w:fill="5A3E8A"/>
          </w:tcPr>
          <w:p>
            <w:r>
              <w:rPr>
                <w:b/>
                <w:color w:val="FFFFFF"/>
                <w:sz w:val="18"/>
              </w:rPr>
              <w:t>Description</w:t>
            </w:r>
          </w:p>
        </w:tc>
      </w:tr>
      <w:tr>
        <w:tc>
          <w:tcPr>
            <w:tcW w:type="dxa" w:w="4536"/>
            <w:shd w:val="clear" w:color="auto" w:fill="F4F6F8"/>
          </w:tcPr>
          <w:p>
            <w:r>
              <w:rPr>
                <w:sz w:val="18"/>
              </w:rPr>
              <w:t>Primary Goal</w:t>
            </w:r>
          </w:p>
        </w:tc>
        <w:tc>
          <w:tcPr>
            <w:tcW w:type="dxa" w:w="4536"/>
            <w:shd w:val="clear" w:color="auto" w:fill="F4F6F8"/>
          </w:tcPr>
          <w:p>
            <w:r>
              <w:rPr>
                <w:sz w:val="18"/>
              </w:rPr>
              <w:t>Demonstrate that email and social campaigns drive measurable fundraising outcomes</w:t>
            </w:r>
          </w:p>
        </w:tc>
      </w:tr>
      <w:tr>
        <w:tc>
          <w:tcPr>
            <w:tcW w:type="dxa" w:w="4536"/>
            <w:shd w:val="clear" w:color="auto" w:fill="FFFFFF"/>
          </w:tcPr>
          <w:p>
            <w:r>
              <w:rPr>
                <w:sz w:val="18"/>
              </w:rPr>
              <w:t>Biggest Pain</w:t>
            </w:r>
          </w:p>
        </w:tc>
        <w:tc>
          <w:tcPr>
            <w:tcW w:type="dxa" w:w="4536"/>
            <w:shd w:val="clear" w:color="auto" w:fill="FFFFFF"/>
          </w:tcPr>
          <w:p>
            <w:r>
              <w:rPr>
                <w:sz w:val="18"/>
              </w:rPr>
              <w:t>Email platform and fundraising data live in separate systems — connecting them is manual</w:t>
            </w:r>
          </w:p>
        </w:tc>
      </w:tr>
      <w:tr>
        <w:tc>
          <w:tcPr>
            <w:tcW w:type="dxa" w:w="4536"/>
            <w:shd w:val="clear" w:color="auto" w:fill="F4F6F8"/>
          </w:tcPr>
          <w:p>
            <w:r>
              <w:rPr>
                <w:sz w:val="18"/>
              </w:rPr>
              <w:t>Dashboard Needs</w:t>
            </w:r>
          </w:p>
        </w:tc>
        <w:tc>
          <w:tcPr>
            <w:tcW w:type="dxa" w:w="4536"/>
            <w:shd w:val="clear" w:color="auto" w:fill="F4F6F8"/>
          </w:tcPr>
          <w:p>
            <w:r>
              <w:rPr>
                <w:sz w:val="18"/>
              </w:rPr>
              <w:t>Email open rate, click rate, conversion funnel, channel contribution to total revenue</w:t>
            </w:r>
          </w:p>
        </w:tc>
      </w:tr>
      <w:tr>
        <w:tc>
          <w:tcPr>
            <w:tcW w:type="dxa" w:w="4536"/>
            <w:shd w:val="clear" w:color="auto" w:fill="FFFFFF"/>
          </w:tcPr>
          <w:p>
            <w:r>
              <w:rPr>
                <w:sz w:val="18"/>
              </w:rPr>
              <w:t>Data Literacy</w:t>
            </w:r>
          </w:p>
        </w:tc>
        <w:tc>
          <w:tcPr>
            <w:tcW w:type="dxa" w:w="4536"/>
            <w:shd w:val="clear" w:color="auto" w:fill="FFFFFF"/>
          </w:tcPr>
          <w:p>
            <w:r>
              <w:rPr>
                <w:sz w:val="18"/>
              </w:rPr>
              <w:t>Medium-high — comfortable with percentages and funnels; less confident with financial data</w:t>
            </w:r>
          </w:p>
        </w:tc>
      </w:tr>
      <w:tr>
        <w:tc>
          <w:tcPr>
            <w:tcW w:type="dxa" w:w="4536"/>
            <w:shd w:val="clear" w:color="auto" w:fill="F4F6F8"/>
          </w:tcPr>
          <w:p>
            <w:r>
              <w:rPr>
                <w:sz w:val="18"/>
              </w:rPr>
              <w:t>Trust Threshold</w:t>
            </w:r>
          </w:p>
        </w:tc>
        <w:tc>
          <w:tcPr>
            <w:tcW w:type="dxa" w:w="4536"/>
            <w:shd w:val="clear" w:color="auto" w:fill="F4F6F8"/>
          </w:tcPr>
          <w:p>
            <w:r>
              <w:rPr>
                <w:sz w:val="18"/>
              </w:rPr>
              <w:t>Medium — needs charts to be clearly labeled; dislikes ambiguous metric names</w:t>
            </w:r>
          </w:p>
        </w:tc>
      </w:tr>
      <w:tr>
        <w:tc>
          <w:tcPr>
            <w:tcW w:type="dxa" w:w="4536"/>
            <w:shd w:val="clear" w:color="auto" w:fill="FFFFFF"/>
          </w:tcPr>
          <w:p>
            <w:r>
              <w:rPr>
                <w:sz w:val="18"/>
              </w:rPr>
              <w:t>Device</w:t>
            </w:r>
          </w:p>
        </w:tc>
        <w:tc>
          <w:tcPr>
            <w:tcW w:type="dxa" w:w="4536"/>
            <w:shd w:val="clear" w:color="auto" w:fill="FFFFFF"/>
          </w:tcPr>
          <w:p>
            <w:r>
              <w:rPr>
                <w:sz w:val="18"/>
              </w:rPr>
              <w:t>MacBook (Chrome), iPhone for quick checks</w:t>
            </w:r>
          </w:p>
        </w:tc>
      </w:tr>
      <w:tr>
        <w:tc>
          <w:tcPr>
            <w:tcW w:type="dxa" w:w="4536"/>
            <w:shd w:val="clear" w:color="auto" w:fill="F4F6F8"/>
          </w:tcPr>
          <w:p>
            <w:r>
              <w:rPr>
                <w:sz w:val="18"/>
              </w:rPr>
              <w:t>Key Quote</w:t>
            </w:r>
          </w:p>
        </w:tc>
        <w:tc>
          <w:tcPr>
            <w:tcW w:type="dxa" w:w="4536"/>
            <w:shd w:val="clear" w:color="auto" w:fill="F4F6F8"/>
          </w:tcPr>
          <w:p>
            <w:r>
              <w:rPr>
                <w:sz w:val="18"/>
              </w:rPr>
              <w:t xml:space="preserve">'I need to show my CEO that our email strategy is driving donations, not just opens.' </w:t>
            </w:r>
          </w:p>
        </w:tc>
      </w:tr>
    </w:tbl>
    <w:p/>
    <w:p>
      <w:pPr>
        <w:spacing w:before="280" w:after="80"/>
        <w:pBdr>
          <w:bottom w:val="single" w:sz="6" w:space="1" w:color="1F2A44"/>
        </w:pBdr>
      </w:pPr>
      <w:r>
        <w:rPr>
          <w:b/>
          <w:color w:val="1F2A44"/>
          <w:sz w:val="30"/>
        </w:rPr>
        <w:t>3. Non-Functional Benchmarks — What Competitors &amp; The Field Require</w:t>
      </w:r>
    </w:p>
    <w:p>
      <w:pPr>
        <w:spacing w:after="100"/>
      </w:pPr>
      <w:r>
        <w:rPr>
          <w:i w:val="0"/>
          <w:sz w:val="20"/>
        </w:rPr>
        <w:t>The Business Analyst reviewed leading nonprofit analytics platforms and comparable BI products to establish non-functional standards. These benchmarks define 'good enough' from the market's perspective — not just internal preferences.</w:t>
      </w:r>
    </w:p>
    <w:p>
      <w:pPr>
        <w:spacing w:before="80" w:after="120"/>
        <w:ind w:left="432"/>
        <w:pBdr>
          <w:left w:val="single" w:sz="18" w:space="6" w:color="4B6A88"/>
        </w:pBdr>
      </w:pPr>
      <w:r>
        <w:rPr>
          <w:i/>
          <w:color w:val="6E7681"/>
          <w:sz w:val="20"/>
        </w:rPr>
        <w:t>Benchmarked against: Salesforce NPSP Dashboards, Blackbaud Analytics, Virtuous CRM Insights, Bloomerang Retention Reports, Tableau Public community best-practice dashboards, and Nielsen Norman Group BI usability research.</w:t>
      </w:r>
    </w:p>
    <w:tbl>
      <w:tblGrid>
        <w:gridCol w:w="700"/>
        <w:gridCol w:w="1100"/>
        <w:gridCol w:w="1600"/>
        <w:gridCol w:w="2200"/>
        <w:gridCol w:w="2600"/>
        <w:gridCol w:w="1160"/>
      </w:tblGrid>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4B6A88"/>
          </w:tcPr>
          <w:p>
            <w:r>
              <w:rPr>
                <w:b/>
                <w:color w:val="FFFFFF"/>
                <w:sz w:val="18"/>
              </w:rPr>
              <w:t>ID</w:t>
            </w:r>
          </w:p>
        </w:tc>
        <w:tc>
          <w:tcPr>
            <w:tcW w:type="dxa" w:w="1512"/>
            <w:shd w:val="clear" w:color="auto" w:fill="4B6A88"/>
          </w:tcPr>
          <w:p>
            <w:r>
              <w:rPr>
                <w:b/>
                <w:color w:val="FFFFFF"/>
                <w:sz w:val="18"/>
              </w:rPr>
              <w:t>Category</w:t>
            </w:r>
          </w:p>
        </w:tc>
        <w:tc>
          <w:tcPr>
            <w:tcW w:type="dxa" w:w="1512"/>
            <w:shd w:val="clear" w:color="auto" w:fill="4B6A88"/>
          </w:tcPr>
          <w:p>
            <w:r>
              <w:rPr>
                <w:b/>
                <w:color w:val="FFFFFF"/>
                <w:sz w:val="18"/>
              </w:rPr>
              <w:t>Requirement</w:t>
            </w:r>
          </w:p>
        </w:tc>
        <w:tc>
          <w:tcPr>
            <w:tcW w:type="dxa" w:w="1512"/>
            <w:shd w:val="clear" w:color="auto" w:fill="4B6A88"/>
          </w:tcPr>
          <w:p>
            <w:r>
              <w:rPr>
                <w:b/>
                <w:color w:val="FFFFFF"/>
                <w:sz w:val="18"/>
              </w:rPr>
              <w:t>Target Standard</w:t>
            </w:r>
          </w:p>
        </w:tc>
        <w:tc>
          <w:tcPr>
            <w:tcW w:type="dxa" w:w="1512"/>
            <w:shd w:val="clear" w:color="auto" w:fill="4B6A88"/>
          </w:tcPr>
          <w:p>
            <w:r>
              <w:rPr>
                <w:b/>
                <w:color w:val="FFFFFF"/>
                <w:sz w:val="18"/>
              </w:rPr>
              <w:t>Industry Benchmark</w:t>
            </w:r>
          </w:p>
        </w:tc>
        <w:tc>
          <w:tcPr>
            <w:tcW w:type="dxa" w:w="1512"/>
            <w:shd w:val="clear" w:color="auto" w:fill="4B6A88"/>
          </w:tcPr>
          <w:p>
            <w:r>
              <w:rPr>
                <w:b/>
                <w:color w:val="FFFFFF"/>
                <w:sz w:val="18"/>
              </w:rPr>
              <w:t>Rationale</w:t>
            </w:r>
          </w:p>
        </w:tc>
      </w:tr>
      <w:tr>
        <w:tc>
          <w:tcPr>
            <w:tcW w:type="dxa" w:w="1512"/>
            <w:shd w:val="clear" w:color="auto" w:fill="F4F6F8"/>
          </w:tcPr>
          <w:p>
            <w:r>
              <w:rPr>
                <w:sz w:val="18"/>
              </w:rPr>
              <w:t>NFR-001</w:t>
            </w:r>
          </w:p>
        </w:tc>
        <w:tc>
          <w:tcPr>
            <w:tcW w:type="dxa" w:w="1512"/>
            <w:shd w:val="clear" w:color="auto" w:fill="F4F6F8"/>
          </w:tcPr>
          <w:p>
            <w:r>
              <w:rPr>
                <w:sz w:val="18"/>
              </w:rPr>
              <w:t>Performance</w:t>
            </w:r>
          </w:p>
        </w:tc>
        <w:tc>
          <w:tcPr>
            <w:tcW w:type="dxa" w:w="1512"/>
            <w:shd w:val="clear" w:color="auto" w:fill="F4F6F8"/>
          </w:tcPr>
          <w:p>
            <w:r>
              <w:rPr>
                <w:sz w:val="18"/>
              </w:rPr>
              <w:t>Dashboard load time</w:t>
            </w:r>
          </w:p>
        </w:tc>
        <w:tc>
          <w:tcPr>
            <w:tcW w:type="dxa" w:w="1512"/>
            <w:shd w:val="clear" w:color="auto" w:fill="F4F6F8"/>
          </w:tcPr>
          <w:p>
            <w:r>
              <w:rPr>
                <w:sz w:val="18"/>
              </w:rPr>
              <w:t>&lt; 3 seconds on first load; &lt; 1.5s on filter change</w:t>
            </w:r>
          </w:p>
        </w:tc>
        <w:tc>
          <w:tcPr>
            <w:tcW w:type="dxa" w:w="1512"/>
            <w:shd w:val="clear" w:color="auto" w:fill="F4F6F8"/>
          </w:tcPr>
          <w:p>
            <w:r>
              <w:rPr>
                <w:sz w:val="18"/>
              </w:rPr>
              <w:t>Tableau Public avg: 2-4s. Salesforce dashboards: 2-3s. Google Looker: &lt;2s.</w:t>
            </w:r>
          </w:p>
        </w:tc>
        <w:tc>
          <w:tcPr>
            <w:tcW w:type="dxa" w:w="1512"/>
            <w:shd w:val="clear" w:color="auto" w:fill="F4F6F8"/>
          </w:tcPr>
          <w:p>
            <w:r>
              <w:rPr>
                <w:sz w:val="18"/>
              </w:rPr>
              <w:t>Users abandon dashboards that take &gt; 5s to respond (Nielsen Norman, 2023)</w:t>
            </w:r>
          </w:p>
        </w:tc>
      </w:tr>
      <w:tr>
        <w:tc>
          <w:tcPr>
            <w:tcW w:type="dxa" w:w="1512"/>
            <w:shd w:val="clear" w:color="auto" w:fill="FFFFFF"/>
          </w:tcPr>
          <w:p>
            <w:r>
              <w:rPr>
                <w:sz w:val="18"/>
              </w:rPr>
              <w:t>NFR-002</w:t>
            </w:r>
          </w:p>
        </w:tc>
        <w:tc>
          <w:tcPr>
            <w:tcW w:type="dxa" w:w="1512"/>
            <w:shd w:val="clear" w:color="auto" w:fill="FFFFFF"/>
          </w:tcPr>
          <w:p>
            <w:r>
              <w:rPr>
                <w:sz w:val="18"/>
              </w:rPr>
              <w:t>Performance</w:t>
            </w:r>
          </w:p>
        </w:tc>
        <w:tc>
          <w:tcPr>
            <w:tcW w:type="dxa" w:w="1512"/>
            <w:shd w:val="clear" w:color="auto" w:fill="FFFFFF"/>
          </w:tcPr>
          <w:p>
            <w:r>
              <w:rPr>
                <w:sz w:val="18"/>
              </w:rPr>
              <w:t>Filter response time</w:t>
            </w:r>
          </w:p>
        </w:tc>
        <w:tc>
          <w:tcPr>
            <w:tcW w:type="dxa" w:w="1512"/>
            <w:shd w:val="clear" w:color="auto" w:fill="FFFFFF"/>
          </w:tcPr>
          <w:p>
            <w:r>
              <w:rPr>
                <w:sz w:val="18"/>
              </w:rPr>
              <w:t>&lt; 1.5 seconds for any single filter change</w:t>
            </w:r>
          </w:p>
        </w:tc>
        <w:tc>
          <w:tcPr>
            <w:tcW w:type="dxa" w:w="1512"/>
            <w:shd w:val="clear" w:color="auto" w:fill="FFFFFF"/>
          </w:tcPr>
          <w:p>
            <w:r>
              <w:rPr>
                <w:sz w:val="18"/>
              </w:rPr>
              <w:t>Industry standard for BI tools is sub-2s for filter interactions</w:t>
            </w:r>
          </w:p>
        </w:tc>
        <w:tc>
          <w:tcPr>
            <w:tcW w:type="dxa" w:w="1512"/>
            <w:shd w:val="clear" w:color="auto" w:fill="FFFFFF"/>
          </w:tcPr>
          <w:p>
            <w:r>
              <w:rPr>
                <w:sz w:val="18"/>
              </w:rPr>
              <w:t>Critical for Julie's board meeting use case — she will be applying filters live</w:t>
            </w:r>
          </w:p>
        </w:tc>
      </w:tr>
      <w:tr>
        <w:tc>
          <w:tcPr>
            <w:tcW w:type="dxa" w:w="1512"/>
            <w:shd w:val="clear" w:color="auto" w:fill="F4F6F8"/>
          </w:tcPr>
          <w:p>
            <w:r>
              <w:rPr>
                <w:sz w:val="18"/>
              </w:rPr>
              <w:t>NFR-003</w:t>
            </w:r>
          </w:p>
        </w:tc>
        <w:tc>
          <w:tcPr>
            <w:tcW w:type="dxa" w:w="1512"/>
            <w:shd w:val="clear" w:color="auto" w:fill="F4F6F8"/>
          </w:tcPr>
          <w:p>
            <w:r>
              <w:rPr>
                <w:sz w:val="18"/>
              </w:rPr>
              <w:t>Accessibility</w:t>
            </w:r>
          </w:p>
        </w:tc>
        <w:tc>
          <w:tcPr>
            <w:tcW w:type="dxa" w:w="1512"/>
            <w:shd w:val="clear" w:color="auto" w:fill="F4F6F8"/>
          </w:tcPr>
          <w:p>
            <w:r>
              <w:rPr>
                <w:sz w:val="18"/>
              </w:rPr>
              <w:t>Color contrast ratio</w:t>
            </w:r>
          </w:p>
        </w:tc>
        <w:tc>
          <w:tcPr>
            <w:tcW w:type="dxa" w:w="1512"/>
            <w:shd w:val="clear" w:color="auto" w:fill="F4F6F8"/>
          </w:tcPr>
          <w:p>
            <w:r>
              <w:rPr>
                <w:sz w:val="18"/>
              </w:rPr>
              <w:t>Minimum WCAG AA: 4.5:1 for text; 3:1 for charts</w:t>
            </w:r>
          </w:p>
        </w:tc>
        <w:tc>
          <w:tcPr>
            <w:tcW w:type="dxa" w:w="1512"/>
            <w:shd w:val="clear" w:color="auto" w:fill="F4F6F8"/>
          </w:tcPr>
          <w:p>
            <w:r>
              <w:rPr>
                <w:sz w:val="18"/>
              </w:rPr>
              <w:t>Blackbaud and Salesforce both publish WCAG AA compliance. Tableau Public supports it.</w:t>
            </w:r>
          </w:p>
        </w:tc>
        <w:tc>
          <w:tcPr>
            <w:tcW w:type="dxa" w:w="1512"/>
            <w:shd w:val="clear" w:color="auto" w:fill="F4F6F8"/>
          </w:tcPr>
          <w:p>
            <w:r>
              <w:rPr>
                <w:sz w:val="18"/>
              </w:rPr>
              <w:t>Skye brand palette was designed with WCAG AA in mind; must be verified at implementation</w:t>
            </w:r>
          </w:p>
        </w:tc>
      </w:tr>
      <w:tr>
        <w:tc>
          <w:tcPr>
            <w:tcW w:type="dxa" w:w="1512"/>
            <w:shd w:val="clear" w:color="auto" w:fill="FFFFFF"/>
          </w:tcPr>
          <w:p>
            <w:r>
              <w:rPr>
                <w:sz w:val="18"/>
              </w:rPr>
              <w:t>NFR-004</w:t>
            </w:r>
          </w:p>
        </w:tc>
        <w:tc>
          <w:tcPr>
            <w:tcW w:type="dxa" w:w="1512"/>
            <w:shd w:val="clear" w:color="auto" w:fill="FFFFFF"/>
          </w:tcPr>
          <w:p>
            <w:r>
              <w:rPr>
                <w:sz w:val="18"/>
              </w:rPr>
              <w:t>Accessibility</w:t>
            </w:r>
          </w:p>
        </w:tc>
        <w:tc>
          <w:tcPr>
            <w:tcW w:type="dxa" w:w="1512"/>
            <w:shd w:val="clear" w:color="auto" w:fill="FFFFFF"/>
          </w:tcPr>
          <w:p>
            <w:r>
              <w:rPr>
                <w:sz w:val="18"/>
              </w:rPr>
              <w:t>Font size minimums</w:t>
            </w:r>
          </w:p>
        </w:tc>
        <w:tc>
          <w:tcPr>
            <w:tcW w:type="dxa" w:w="1512"/>
            <w:shd w:val="clear" w:color="auto" w:fill="FFFFFF"/>
          </w:tcPr>
          <w:p>
            <w:r>
              <w:rPr>
                <w:sz w:val="18"/>
              </w:rPr>
              <w:t>No text below 9pt on dashboard; 11pt minimum for KPI labels</w:t>
            </w:r>
          </w:p>
        </w:tc>
        <w:tc>
          <w:tcPr>
            <w:tcW w:type="dxa" w:w="1512"/>
            <w:shd w:val="clear" w:color="auto" w:fill="FFFFFF"/>
          </w:tcPr>
          <w:p>
            <w:r>
              <w:rPr>
                <w:sz w:val="18"/>
              </w:rPr>
              <w:t>Tableau Public default labels at 10pt; competitor dashboards use 10-12pt for readability</w:t>
            </w:r>
          </w:p>
        </w:tc>
        <w:tc>
          <w:tcPr>
            <w:tcW w:type="dxa" w:w="1512"/>
            <w:shd w:val="clear" w:color="auto" w:fill="FFFFFF"/>
          </w:tcPr>
          <w:p>
            <w:r>
              <w:rPr>
                <w:sz w:val="18"/>
              </w:rPr>
              <w:t>Chloe reviews on a 13-inch MacBook — small fonts will be flagged immediately</w:t>
            </w:r>
          </w:p>
        </w:tc>
      </w:tr>
      <w:tr>
        <w:tc>
          <w:tcPr>
            <w:tcW w:type="dxa" w:w="1512"/>
            <w:shd w:val="clear" w:color="auto" w:fill="F4F6F8"/>
          </w:tcPr>
          <w:p>
            <w:r>
              <w:rPr>
                <w:sz w:val="18"/>
              </w:rPr>
              <w:t>NFR-005</w:t>
            </w:r>
          </w:p>
        </w:tc>
        <w:tc>
          <w:tcPr>
            <w:tcW w:type="dxa" w:w="1512"/>
            <w:shd w:val="clear" w:color="auto" w:fill="F4F6F8"/>
          </w:tcPr>
          <w:p>
            <w:r>
              <w:rPr>
                <w:sz w:val="18"/>
              </w:rPr>
              <w:t>Accessibility</w:t>
            </w:r>
          </w:p>
        </w:tc>
        <w:tc>
          <w:tcPr>
            <w:tcW w:type="dxa" w:w="1512"/>
            <w:shd w:val="clear" w:color="auto" w:fill="F4F6F8"/>
          </w:tcPr>
          <w:p>
            <w:r>
              <w:rPr>
                <w:sz w:val="18"/>
              </w:rPr>
              <w:t>Color-blind safe palette</w:t>
            </w:r>
          </w:p>
        </w:tc>
        <w:tc>
          <w:tcPr>
            <w:tcW w:type="dxa" w:w="1512"/>
            <w:shd w:val="clear" w:color="auto" w:fill="F4F6F8"/>
          </w:tcPr>
          <w:p>
            <w:r>
              <w:rPr>
                <w:sz w:val="18"/>
              </w:rPr>
              <w:t>Navy, teal, gold, green, coral must be distinguishable with deuteranopia simulation</w:t>
            </w:r>
          </w:p>
        </w:tc>
        <w:tc>
          <w:tcPr>
            <w:tcW w:type="dxa" w:w="1512"/>
            <w:shd w:val="clear" w:color="auto" w:fill="F4F6F8"/>
          </w:tcPr>
          <w:p>
            <w:r>
              <w:rPr>
                <w:sz w:val="18"/>
              </w:rPr>
              <w:t>Bloomerang uses blue/orange only for this reason. Virtuous uses blue/red/green with icons.</w:t>
            </w:r>
          </w:p>
        </w:tc>
        <w:tc>
          <w:tcPr>
            <w:tcW w:type="dxa" w:w="1512"/>
            <w:shd w:val="clear" w:color="auto" w:fill="F4F6F8"/>
          </w:tcPr>
          <w:p>
            <w:r>
              <w:rPr>
                <w:sz w:val="18"/>
              </w:rPr>
              <w:t>Add icon/pattern as secondary encoding for any color-only distinction</w:t>
            </w:r>
          </w:p>
        </w:tc>
      </w:tr>
      <w:tr>
        <w:tc>
          <w:tcPr>
            <w:tcW w:type="dxa" w:w="1512"/>
            <w:shd w:val="clear" w:color="auto" w:fill="FFFFFF"/>
          </w:tcPr>
          <w:p>
            <w:r>
              <w:rPr>
                <w:sz w:val="18"/>
              </w:rPr>
              <w:t>NFR-006</w:t>
            </w:r>
          </w:p>
        </w:tc>
        <w:tc>
          <w:tcPr>
            <w:tcW w:type="dxa" w:w="1512"/>
            <w:shd w:val="clear" w:color="auto" w:fill="FFFFFF"/>
          </w:tcPr>
          <w:p>
            <w:r>
              <w:rPr>
                <w:sz w:val="18"/>
              </w:rPr>
              <w:t>Usability</w:t>
            </w:r>
          </w:p>
        </w:tc>
        <w:tc>
          <w:tcPr>
            <w:tcW w:type="dxa" w:w="1512"/>
            <w:shd w:val="clear" w:color="auto" w:fill="FFFFFF"/>
          </w:tcPr>
          <w:p>
            <w:r>
              <w:rPr>
                <w:sz w:val="18"/>
              </w:rPr>
              <w:t>Time-to-insight for primary question</w:t>
            </w:r>
          </w:p>
        </w:tc>
        <w:tc>
          <w:tcPr>
            <w:tcW w:type="dxa" w:w="1512"/>
            <w:shd w:val="clear" w:color="auto" w:fill="FFFFFF"/>
          </w:tcPr>
          <w:p>
            <w:r>
              <w:rPr>
                <w:sz w:val="18"/>
              </w:rPr>
              <w:t>Each primary business question answerable in &lt; 30 seconds without training</w:t>
            </w:r>
          </w:p>
        </w:tc>
        <w:tc>
          <w:tcPr>
            <w:tcW w:type="dxa" w:w="1512"/>
            <w:shd w:val="clear" w:color="auto" w:fill="FFFFFF"/>
          </w:tcPr>
          <w:p>
            <w:r>
              <w:rPr>
                <w:sz w:val="18"/>
              </w:rPr>
              <w:t>Nielsen Norman: expert BI users take 15-45s for dashboard insights; novices 60-90s</w:t>
            </w:r>
          </w:p>
        </w:tc>
        <w:tc>
          <w:tcPr>
            <w:tcW w:type="dxa" w:w="1512"/>
            <w:shd w:val="clear" w:color="auto" w:fill="FFFFFF"/>
          </w:tcPr>
          <w:p>
            <w:r>
              <w:rPr>
                <w:sz w:val="18"/>
              </w:rPr>
              <w:t>Defined in QA test plan. Julie and Chloe are the usability test subjects.</w:t>
            </w:r>
          </w:p>
        </w:tc>
      </w:tr>
      <w:tr>
        <w:tc>
          <w:tcPr>
            <w:tcW w:type="dxa" w:w="1512"/>
            <w:shd w:val="clear" w:color="auto" w:fill="F4F6F8"/>
          </w:tcPr>
          <w:p>
            <w:r>
              <w:rPr>
                <w:sz w:val="18"/>
              </w:rPr>
              <w:t>NFR-007</w:t>
            </w:r>
          </w:p>
        </w:tc>
        <w:tc>
          <w:tcPr>
            <w:tcW w:type="dxa" w:w="1512"/>
            <w:shd w:val="clear" w:color="auto" w:fill="F4F6F8"/>
          </w:tcPr>
          <w:p>
            <w:r>
              <w:rPr>
                <w:sz w:val="18"/>
              </w:rPr>
              <w:t>Usability</w:t>
            </w:r>
          </w:p>
        </w:tc>
        <w:tc>
          <w:tcPr>
            <w:tcW w:type="dxa" w:w="1512"/>
            <w:shd w:val="clear" w:color="auto" w:fill="F4F6F8"/>
          </w:tcPr>
          <w:p>
            <w:r>
              <w:rPr>
                <w:sz w:val="18"/>
              </w:rPr>
              <w:t>Dashboard self-documentation</w:t>
            </w:r>
          </w:p>
        </w:tc>
        <w:tc>
          <w:tcPr>
            <w:tcW w:type="dxa" w:w="1512"/>
            <w:shd w:val="clear" w:color="auto" w:fill="F4F6F8"/>
          </w:tcPr>
          <w:p>
            <w:r>
              <w:rPr>
                <w:sz w:val="18"/>
              </w:rPr>
              <w:t>Every metric has a tooltip with a plain-English definition. No jargon without explanation.</w:t>
            </w:r>
          </w:p>
        </w:tc>
        <w:tc>
          <w:tcPr>
            <w:tcW w:type="dxa" w:w="1512"/>
            <w:shd w:val="clear" w:color="auto" w:fill="F4F6F8"/>
          </w:tcPr>
          <w:p>
            <w:r>
              <w:rPr>
                <w:sz w:val="18"/>
              </w:rPr>
              <w:t>Salesforce NPSP includes definition tooltips on all KPIs. Blackbaud uses inline help text.</w:t>
            </w:r>
          </w:p>
        </w:tc>
        <w:tc>
          <w:tcPr>
            <w:tcW w:type="dxa" w:w="1512"/>
            <w:shd w:val="clear" w:color="auto" w:fill="F4F6F8"/>
          </w:tcPr>
          <w:p>
            <w:r>
              <w:rPr>
                <w:sz w:val="18"/>
              </w:rPr>
              <w:t>Chloe's 'medium data literacy' profile makes this non-negotiable</w:t>
            </w:r>
          </w:p>
        </w:tc>
      </w:tr>
      <w:tr>
        <w:tc>
          <w:tcPr>
            <w:tcW w:type="dxa" w:w="1512"/>
            <w:shd w:val="clear" w:color="auto" w:fill="FFFFFF"/>
          </w:tcPr>
          <w:p>
            <w:r>
              <w:rPr>
                <w:sz w:val="18"/>
              </w:rPr>
              <w:t>NFR-008</w:t>
            </w:r>
          </w:p>
        </w:tc>
        <w:tc>
          <w:tcPr>
            <w:tcW w:type="dxa" w:w="1512"/>
            <w:shd w:val="clear" w:color="auto" w:fill="FFFFFF"/>
          </w:tcPr>
          <w:p>
            <w:r>
              <w:rPr>
                <w:sz w:val="18"/>
              </w:rPr>
              <w:t>Usability</w:t>
            </w:r>
          </w:p>
        </w:tc>
        <w:tc>
          <w:tcPr>
            <w:tcW w:type="dxa" w:w="1512"/>
            <w:shd w:val="clear" w:color="auto" w:fill="FFFFFF"/>
          </w:tcPr>
          <w:p>
            <w:r>
              <w:rPr>
                <w:sz w:val="18"/>
              </w:rPr>
              <w:t>Mobile responsiveness</w:t>
            </w:r>
          </w:p>
        </w:tc>
        <w:tc>
          <w:tcPr>
            <w:tcW w:type="dxa" w:w="1512"/>
            <w:shd w:val="clear" w:color="auto" w:fill="FFFFFF"/>
          </w:tcPr>
          <w:p>
            <w:r>
              <w:rPr>
                <w:sz w:val="18"/>
              </w:rPr>
              <w:t>Dashboard readable and navigable on 768px-wide tablet (iPad portrait)</w:t>
            </w:r>
          </w:p>
        </w:tc>
        <w:tc>
          <w:tcPr>
            <w:tcW w:type="dxa" w:w="1512"/>
            <w:shd w:val="clear" w:color="auto" w:fill="FFFFFF"/>
          </w:tcPr>
          <w:p>
            <w:r>
              <w:rPr>
                <w:sz w:val="18"/>
              </w:rPr>
              <w:t>Tableau Public responsive layouts support 768px+ breakpoints</w:t>
            </w:r>
          </w:p>
        </w:tc>
        <w:tc>
          <w:tcPr>
            <w:tcW w:type="dxa" w:w="1512"/>
            <w:shd w:val="clear" w:color="auto" w:fill="FFFFFF"/>
          </w:tcPr>
          <w:p>
            <w:r>
              <w:rPr>
                <w:sz w:val="18"/>
              </w:rPr>
              <w:t>Julie uses iPad in board meetings — tabs and KPI cards must remain legible</w:t>
            </w:r>
          </w:p>
        </w:tc>
      </w:tr>
      <w:tr>
        <w:tc>
          <w:tcPr>
            <w:tcW w:type="dxa" w:w="1512"/>
            <w:shd w:val="clear" w:color="auto" w:fill="F4F6F8"/>
          </w:tcPr>
          <w:p>
            <w:r>
              <w:rPr>
                <w:sz w:val="18"/>
              </w:rPr>
              <w:t>NFR-009</w:t>
            </w:r>
          </w:p>
        </w:tc>
        <w:tc>
          <w:tcPr>
            <w:tcW w:type="dxa" w:w="1512"/>
            <w:shd w:val="clear" w:color="auto" w:fill="F4F6F8"/>
          </w:tcPr>
          <w:p>
            <w:r>
              <w:rPr>
                <w:sz w:val="18"/>
              </w:rPr>
              <w:t>Data Integrity</w:t>
            </w:r>
          </w:p>
        </w:tc>
        <w:tc>
          <w:tcPr>
            <w:tcW w:type="dxa" w:w="1512"/>
            <w:shd w:val="clear" w:color="auto" w:fill="F4F6F8"/>
          </w:tcPr>
          <w:p>
            <w:r>
              <w:rPr>
                <w:sz w:val="18"/>
              </w:rPr>
              <w:t>Metric accuracy vs source system</w:t>
            </w:r>
          </w:p>
        </w:tc>
        <w:tc>
          <w:tcPr>
            <w:tcW w:type="dxa" w:w="1512"/>
            <w:shd w:val="clear" w:color="auto" w:fill="F4F6F8"/>
          </w:tcPr>
          <w:p>
            <w:r>
              <w:rPr>
                <w:sz w:val="18"/>
              </w:rPr>
              <w:t>&lt; 0.1% variance between dashboard totals and Finance System / CRM</w:t>
            </w:r>
          </w:p>
        </w:tc>
        <w:tc>
          <w:tcPr>
            <w:tcW w:type="dxa" w:w="1512"/>
            <w:shd w:val="clear" w:color="auto" w:fill="F4F6F8"/>
          </w:tcPr>
          <w:p>
            <w:r>
              <w:rPr>
                <w:sz w:val="18"/>
              </w:rPr>
              <w:t>Industry standard for financial reporting dashboards: ±0.1%. Blackbaud guarantees ±0.</w:t>
            </w:r>
          </w:p>
        </w:tc>
        <w:tc>
          <w:tcPr>
            <w:tcW w:type="dxa" w:w="1512"/>
            <w:shd w:val="clear" w:color="auto" w:fill="F4F6F8"/>
          </w:tcPr>
          <w:p>
            <w:r>
              <w:rPr>
                <w:sz w:val="18"/>
              </w:rPr>
              <w:t>Julie will check Total Donations against CRM on day one — this must match</w:t>
            </w:r>
          </w:p>
        </w:tc>
      </w:tr>
      <w:tr>
        <w:tc>
          <w:tcPr>
            <w:tcW w:type="dxa" w:w="1512"/>
            <w:shd w:val="clear" w:color="auto" w:fill="FFFFFF"/>
          </w:tcPr>
          <w:p>
            <w:r>
              <w:rPr>
                <w:sz w:val="18"/>
              </w:rPr>
              <w:t>NFR-010</w:t>
            </w:r>
          </w:p>
        </w:tc>
        <w:tc>
          <w:tcPr>
            <w:tcW w:type="dxa" w:w="1512"/>
            <w:shd w:val="clear" w:color="auto" w:fill="FFFFFF"/>
          </w:tcPr>
          <w:p>
            <w:r>
              <w:rPr>
                <w:sz w:val="18"/>
              </w:rPr>
              <w:t>Data Integrity</w:t>
            </w:r>
          </w:p>
        </w:tc>
        <w:tc>
          <w:tcPr>
            <w:tcW w:type="dxa" w:w="1512"/>
            <w:shd w:val="clear" w:color="auto" w:fill="FFFFFF"/>
          </w:tcPr>
          <w:p>
            <w:r>
              <w:rPr>
                <w:sz w:val="18"/>
              </w:rPr>
              <w:t>Data currency indicator</w:t>
            </w:r>
          </w:p>
        </w:tc>
        <w:tc>
          <w:tcPr>
            <w:tcW w:type="dxa" w:w="1512"/>
            <w:shd w:val="clear" w:color="auto" w:fill="FFFFFF"/>
          </w:tcPr>
          <w:p>
            <w:r>
              <w:rPr>
                <w:sz w:val="18"/>
              </w:rPr>
              <w:t>Dashboard must show last-refreshed timestamp prominently</w:t>
            </w:r>
          </w:p>
        </w:tc>
        <w:tc>
          <w:tcPr>
            <w:tcW w:type="dxa" w:w="1512"/>
            <w:shd w:val="clear" w:color="auto" w:fill="FFFFFF"/>
          </w:tcPr>
          <w:p>
            <w:r>
              <w:rPr>
                <w:sz w:val="18"/>
              </w:rPr>
              <w:t>All leading nonprofit platforms (Bloomerang, Virtuous, Salesforce) show data age on every view</w:t>
            </w:r>
          </w:p>
        </w:tc>
        <w:tc>
          <w:tcPr>
            <w:tcW w:type="dxa" w:w="1512"/>
            <w:shd w:val="clear" w:color="auto" w:fill="FFFFFF"/>
          </w:tcPr>
          <w:p>
            <w:r>
              <w:rPr>
                <w:sz w:val="18"/>
              </w:rPr>
              <w:t>A board member asking 'is this current?' needs a visible answer</w:t>
            </w:r>
          </w:p>
        </w:tc>
      </w:tr>
      <w:tr>
        <w:tc>
          <w:tcPr>
            <w:tcW w:type="dxa" w:w="1512"/>
            <w:shd w:val="clear" w:color="auto" w:fill="F4F6F8"/>
          </w:tcPr>
          <w:p>
            <w:r>
              <w:rPr>
                <w:sz w:val="18"/>
              </w:rPr>
              <w:t>NFR-011</w:t>
            </w:r>
          </w:p>
        </w:tc>
        <w:tc>
          <w:tcPr>
            <w:tcW w:type="dxa" w:w="1512"/>
            <w:shd w:val="clear" w:color="auto" w:fill="F4F6F8"/>
          </w:tcPr>
          <w:p>
            <w:r>
              <w:rPr>
                <w:sz w:val="18"/>
              </w:rPr>
              <w:t>Security</w:t>
            </w:r>
          </w:p>
        </w:tc>
        <w:tc>
          <w:tcPr>
            <w:tcW w:type="dxa" w:w="1512"/>
            <w:shd w:val="clear" w:color="auto" w:fill="F4F6F8"/>
          </w:tcPr>
          <w:p>
            <w:r>
              <w:rPr>
                <w:sz w:val="18"/>
              </w:rPr>
              <w:t>No PII in public view</w:t>
            </w:r>
          </w:p>
        </w:tc>
        <w:tc>
          <w:tcPr>
            <w:tcW w:type="dxa" w:w="1512"/>
            <w:shd w:val="clear" w:color="auto" w:fill="F4F6F8"/>
          </w:tcPr>
          <w:p>
            <w:r>
              <w:rPr>
                <w:sz w:val="18"/>
              </w:rPr>
              <w:t>Zero donor names, email addresses, or individual giving amounts visible on published dashboard</w:t>
            </w:r>
          </w:p>
        </w:tc>
        <w:tc>
          <w:tcPr>
            <w:tcW w:type="dxa" w:w="1512"/>
            <w:shd w:val="clear" w:color="auto" w:fill="F4F6F8"/>
          </w:tcPr>
          <w:p>
            <w:r>
              <w:rPr>
                <w:sz w:val="18"/>
              </w:rPr>
              <w:t>Blackbaud and Salesforce enforce row-level security. Tableau Public = fully public.</w:t>
            </w:r>
          </w:p>
        </w:tc>
        <w:tc>
          <w:tcPr>
            <w:tcW w:type="dxa" w:w="1512"/>
            <w:shd w:val="clear" w:color="auto" w:fill="F4F6F8"/>
          </w:tcPr>
          <w:p>
            <w:r>
              <w:rPr>
                <w:sz w:val="18"/>
              </w:rPr>
              <w:t>Governance certification requires this. DGO has flagged it as a critical control.</w:t>
            </w:r>
          </w:p>
        </w:tc>
      </w:tr>
      <w:tr>
        <w:tc>
          <w:tcPr>
            <w:tcW w:type="dxa" w:w="1512"/>
            <w:shd w:val="clear" w:color="auto" w:fill="FFFFFF"/>
          </w:tcPr>
          <w:p>
            <w:r>
              <w:rPr>
                <w:sz w:val="18"/>
              </w:rPr>
              <w:t>NFR-012</w:t>
            </w:r>
          </w:p>
        </w:tc>
        <w:tc>
          <w:tcPr>
            <w:tcW w:type="dxa" w:w="1512"/>
            <w:shd w:val="clear" w:color="auto" w:fill="FFFFFF"/>
          </w:tcPr>
          <w:p>
            <w:r>
              <w:rPr>
                <w:sz w:val="18"/>
              </w:rPr>
              <w:t>Maintainability</w:t>
            </w:r>
          </w:p>
        </w:tc>
        <w:tc>
          <w:tcPr>
            <w:tcW w:type="dxa" w:w="1512"/>
            <w:shd w:val="clear" w:color="auto" w:fill="FFFFFF"/>
          </w:tcPr>
          <w:p>
            <w:r>
              <w:rPr>
                <w:sz w:val="18"/>
              </w:rPr>
              <w:t>Metric change propagation</w:t>
            </w:r>
          </w:p>
        </w:tc>
        <w:tc>
          <w:tcPr>
            <w:tcW w:type="dxa" w:w="1512"/>
            <w:shd w:val="clear" w:color="auto" w:fill="FFFFFF"/>
          </w:tcPr>
          <w:p>
            <w:r>
              <w:rPr>
                <w:sz w:val="18"/>
              </w:rPr>
              <w:t>Any metric definition change updates all affected views with one formula edit</w:t>
            </w:r>
          </w:p>
        </w:tc>
        <w:tc>
          <w:tcPr>
            <w:tcW w:type="dxa" w:w="1512"/>
            <w:shd w:val="clear" w:color="auto" w:fill="FFFFFF"/>
          </w:tcPr>
          <w:p>
            <w:r>
              <w:rPr>
                <w:sz w:val="18"/>
              </w:rPr>
              <w:t>Industry standard: calculated fields in semantic layer (not per-sheet). dbt models achieve this.</w:t>
            </w:r>
          </w:p>
        </w:tc>
        <w:tc>
          <w:tcPr>
            <w:tcW w:type="dxa" w:w="1512"/>
            <w:shd w:val="clear" w:color="auto" w:fill="FFFFFF"/>
          </w:tcPr>
          <w:p>
            <w:r>
              <w:rPr>
                <w:sz w:val="18"/>
              </w:rPr>
              <w:t>Prevents the silent drift problem where two charts show different numbers for the same metric</w:t>
            </w:r>
          </w:p>
        </w:tc>
      </w:tr>
    </w:tbl>
    <w:p/>
    <w:p>
      <w:r>
        <w:br w:type="page"/>
      </w:r>
    </w:p>
    <w:p>
      <w:pPr>
        <w:spacing w:before="280" w:after="80"/>
        <w:pBdr>
          <w:bottom w:val="single" w:sz="6" w:space="1" w:color="1F2A44"/>
        </w:pBdr>
      </w:pPr>
      <w:r>
        <w:rPr>
          <w:b/>
          <w:color w:val="1F2A44"/>
          <w:sz w:val="30"/>
        </w:rPr>
        <w:t>4. User Stories Tied to Wireframe — Tab by Tab</w:t>
      </w:r>
    </w:p>
    <w:p>
      <w:pPr>
        <w:spacing w:before="80" w:after="120"/>
        <w:ind w:left="432"/>
        <w:pBdr>
          <w:left w:val="single" w:sz="18" w:space="6" w:color="1F2A44"/>
        </w:pBdr>
      </w:pPr>
      <w:r>
        <w:rPr>
          <w:i/>
          <w:color w:val="6E7681"/>
          <w:sz w:val="20"/>
        </w:rPr>
        <w:t>Format: Each story follows the standard 'As a [persona], I need to [do something], so that I can [achieve a goal]' pattern. Each story maps to a wireframe component by name, lists acceptance criteria (what must be true for the story to be done), and lists specific functional test cases the BA has verified.</w:t>
      </w:r>
    </w:p>
    <w:p>
      <w:pPr>
        <w:spacing w:before="200" w:after="60"/>
      </w:pPr>
      <w:r>
        <w:rPr>
          <w:b/>
          <w:color w:val="1F2A44"/>
          <w:sz w:val="24"/>
        </w:rPr>
        <w:t>Tab 1 — Executive Overview</w:t>
      </w:r>
    </w:p>
    <w:p>
      <w:pPr>
        <w:spacing w:after="100"/>
      </w:pPr>
      <w:r>
        <w:rPr>
          <w:i w:val="0"/>
          <w:sz w:val="20"/>
        </w:rPr>
        <w:t>Primary users: Julie Chen (Fundraising), Executive Director, Board members.</w:t>
      </w:r>
    </w:p>
    <w:p>
      <w:pPr>
        <w:spacing w:before="140" w:after="40"/>
      </w:pPr>
      <w:r>
        <w:rPr>
          <w:b/>
          <w:color w:val="3E8A8B"/>
          <w:sz w:val="22"/>
        </w:rPr>
        <w:t>Stories for Tab 1 — Executive Overview</w:t>
      </w:r>
    </w:p>
    <w:p>
      <w:pPr>
        <w:spacing w:before="140" w:after="40"/>
      </w:pPr>
      <w:r>
        <w:rPr>
          <w:b/>
          <w:color w:val="1F2A44"/>
          <w:sz w:val="22"/>
        </w:rPr>
        <w:t>US-01 — Julie Chen, Director of Development</w:t>
      </w:r>
    </w:p>
    <w:p>
      <w:pPr>
        <w:spacing w:before="40" w:after="80"/>
        <w:ind w:left="432"/>
        <w:pBdr>
          <w:left w:val="single" w:sz="24" w:space="6" w:color="C49A3A"/>
        </w:pBdr>
      </w:pPr>
      <w:r>
        <w:rPr>
          <w:i/>
          <w:color w:val="1F2A44"/>
          <w:sz w:val="20"/>
        </w:rPr>
        <w:t>As a Julie Chen, Director of Development, I need to  see our total fundraising revenue for the year at a glance, so that I can open a board meeting with a confident headline number.</w:t>
      </w:r>
    </w:p>
    <w:p>
      <w:pPr>
        <w:pStyle w:val="ListBullet"/>
        <w:spacing w:before="20" w:after="40"/>
        <w:ind w:left="360"/>
      </w:pPr>
      <w:r>
        <w:rPr>
          <w:b/>
          <w:color w:val="4B6A88"/>
          <w:sz w:val="20"/>
        </w:rPr>
        <w:t xml:space="preserve">Wireframe Component: </w:t>
      </w:r>
      <w:r>
        <w:rPr>
          <w:sz w:val="20"/>
        </w:rPr>
        <w:t>Tab 1 — KPI Card: Total Donations ($1.24M)</w:t>
      </w:r>
    </w:p>
    <w:p>
      <w:pPr>
        <w:spacing w:before="80" w:after="40"/>
      </w:pPr>
      <w:r>
        <w:rPr>
          <w:b/>
          <w:color w:val="2E7D63"/>
          <w:sz w:val="20"/>
        </w:rPr>
        <w:t>Acceptance Criteria:</w:t>
      </w:r>
    </w:p>
    <w:p>
      <w:pPr>
        <w:pStyle w:val="ListBullet"/>
        <w:spacing w:before="20" w:after="40"/>
        <w:ind w:left="648"/>
      </w:pPr>
      <w:r>
        <w:rPr>
          <w:sz w:val="20"/>
        </w:rPr>
        <w:t>Total Donations KPI card displays dollar amount formatted to 2 decimal places with $ symbol</w:t>
      </w:r>
    </w:p>
    <w:p>
      <w:pPr>
        <w:pStyle w:val="ListBullet"/>
        <w:spacing w:before="20" w:after="40"/>
        <w:ind w:left="648"/>
      </w:pPr>
      <w:r>
        <w:rPr>
          <w:sz w:val="20"/>
        </w:rPr>
        <w:t>Year-over-year change is shown as a percentage with up/down arrow indicator</w:t>
      </w:r>
    </w:p>
    <w:p>
      <w:pPr>
        <w:pStyle w:val="ListBullet"/>
        <w:spacing w:before="20" w:after="40"/>
        <w:ind w:left="648"/>
      </w:pPr>
      <w:r>
        <w:rPr>
          <w:sz w:val="20"/>
        </w:rPr>
        <w:t>Green arrow when YoY is positive; Coral arrow when negative — consistent with brand system</w:t>
      </w:r>
    </w:p>
    <w:p>
      <w:pPr>
        <w:pStyle w:val="ListBullet"/>
        <w:spacing w:before="20" w:after="40"/>
        <w:ind w:left="648"/>
      </w:pPr>
      <w:r>
        <w:rPr>
          <w:sz w:val="20"/>
        </w:rPr>
        <w:t>Clicking the card does not break; it may trigger a drill-down or remain static</w:t>
      </w:r>
    </w:p>
    <w:p>
      <w:pPr>
        <w:pStyle w:val="ListBullet"/>
        <w:spacing w:before="20" w:after="40"/>
        <w:ind w:left="648"/>
      </w:pPr>
      <w:r>
        <w:rPr>
          <w:sz w:val="20"/>
        </w:rPr>
        <w:t>Value matches Finance System total within 0.1% (reconciliation baseline)</w:t>
      </w:r>
    </w:p>
    <w:p>
      <w:pPr>
        <w:pStyle w:val="ListBullet"/>
        <w:spacing w:before="20" w:after="40"/>
        <w:ind w:left="648"/>
      </w:pPr>
      <w:r>
        <w:rPr>
          <w:sz w:val="20"/>
        </w:rPr>
        <w:t>KPI is visible without scrolling on a 1366px-wide screen</w:t>
      </w:r>
    </w:p>
    <w:p>
      <w:pPr>
        <w:spacing w:before="80" w:after="40"/>
      </w:pPr>
      <w:r>
        <w:rPr>
          <w:b/>
          <w:color w:val="4B6A88"/>
          <w:sz w:val="20"/>
        </w:rPr>
        <w:t>Functional Test Cases:</w:t>
      </w:r>
    </w:p>
    <w:p>
      <w:pPr>
        <w:pStyle w:val="ListBullet"/>
        <w:spacing w:before="20" w:after="40"/>
        <w:ind w:left="648"/>
      </w:pPr>
      <w:r>
        <w:rPr>
          <w:sz w:val="20"/>
        </w:rPr>
        <w:t>FT-01a: Apply Date Range = 2024 full year → verify Total Donations = $1.24M</w:t>
      </w:r>
    </w:p>
    <w:p>
      <w:pPr>
        <w:pStyle w:val="ListBullet"/>
        <w:spacing w:before="20" w:after="40"/>
        <w:ind w:left="648"/>
      </w:pPr>
      <w:r>
        <w:rPr>
          <w:sz w:val="20"/>
        </w:rPr>
        <w:t>FT-01b: Change Date Range to Q1 only → verify KPI updates and YoY recalculates</w:t>
      </w:r>
    </w:p>
    <w:p>
      <w:pPr>
        <w:pStyle w:val="ListBullet"/>
        <w:spacing w:before="20" w:after="40"/>
        <w:ind w:left="648"/>
      </w:pPr>
      <w:r>
        <w:rPr>
          <w:sz w:val="20"/>
        </w:rPr>
        <w:t>FT-01c: Apply Donor Segment = Major → verify KPI filters correctly</w:t>
      </w:r>
    </w:p>
    <w:p>
      <w:pPr>
        <w:pStyle w:val="ListBullet"/>
        <w:spacing w:before="20" w:after="40"/>
        <w:ind w:left="648"/>
      </w:pPr>
      <w:r>
        <w:rPr>
          <w:sz w:val="20"/>
        </w:rPr>
        <w:t>FT-01d: Remove all filters → verify KPI returns to full-year value</w:t>
      </w:r>
    </w:p>
    <w:p>
      <w:pPr>
        <w:pStyle w:val="ListBullet"/>
        <w:spacing w:before="20" w:after="40"/>
        <w:ind w:left="648"/>
      </w:pPr>
      <w:r>
        <w:rPr>
          <w:sz w:val="20"/>
        </w:rPr>
        <w:t>FT-01e: Cross-check displayed value against Snowflake SUM query result</w:t>
      </w:r>
    </w:p>
    <w:p>
      <w:pPr>
        <w:pStyle w:val="ListBullet"/>
        <w:spacing w:before="20" w:after="40"/>
        <w:ind w:left="360"/>
      </w:pPr>
      <w:r>
        <w:rPr>
          <w:b/>
          <w:color w:val="4B6A88"/>
          <w:sz w:val="20"/>
        </w:rPr>
        <w:t xml:space="preserve">Non-Functional Links: </w:t>
      </w:r>
      <w:r>
        <w:rPr>
          <w:sz w:val="20"/>
        </w:rPr>
        <w:t>NFR-009 (accuracy), NFR-001 (load time), NFR-010 (data currency)</w:t>
      </w:r>
    </w:p>
    <w:p/>
    <w:p>
      <w:pPr>
        <w:spacing w:before="140" w:after="40"/>
      </w:pPr>
      <w:r>
        <w:rPr>
          <w:b/>
          <w:color w:val="1F2A44"/>
          <w:sz w:val="22"/>
        </w:rPr>
        <w:t>US-02 — Julie Chen, Director of Development</w:t>
      </w:r>
    </w:p>
    <w:p>
      <w:pPr>
        <w:spacing w:before="40" w:after="80"/>
        <w:ind w:left="432"/>
        <w:pBdr>
          <w:left w:val="single" w:sz="24" w:space="6" w:color="C49A3A"/>
        </w:pBdr>
      </w:pPr>
      <w:r>
        <w:rPr>
          <w:i/>
          <w:color w:val="1F2A44"/>
          <w:sz w:val="20"/>
        </w:rPr>
        <w:t>As a Julie Chen, Director of Development, I need to  see our donor retention rate trend over the year, so that I can identify whether we are getting better or worse at keeping donors.</w:t>
      </w:r>
    </w:p>
    <w:p>
      <w:pPr>
        <w:pStyle w:val="ListBullet"/>
        <w:spacing w:before="20" w:after="40"/>
        <w:ind w:left="360"/>
      </w:pPr>
      <w:r>
        <w:rPr>
          <w:b/>
          <w:color w:val="4B6A88"/>
          <w:sz w:val="20"/>
        </w:rPr>
        <w:t xml:space="preserve">Wireframe Component: </w:t>
      </w:r>
      <w:r>
        <w:rPr>
          <w:sz w:val="20"/>
        </w:rPr>
        <w:t>Tab 1 — Donor Growth chart (dual axis: bar = donors, line = retention rate)</w:t>
      </w:r>
    </w:p>
    <w:p>
      <w:pPr>
        <w:spacing w:before="80" w:after="40"/>
      </w:pPr>
      <w:r>
        <w:rPr>
          <w:b/>
          <w:color w:val="2E7D63"/>
          <w:sz w:val="20"/>
        </w:rPr>
        <w:t>Acceptance Criteria:</w:t>
      </w:r>
    </w:p>
    <w:p>
      <w:pPr>
        <w:pStyle w:val="ListBullet"/>
        <w:spacing w:before="20" w:after="40"/>
        <w:ind w:left="648"/>
      </w:pPr>
      <w:r>
        <w:rPr>
          <w:sz w:val="20"/>
        </w:rPr>
        <w:t>Retention rate line is clearly distinguished from the donor count bars (different mark type)</w:t>
      </w:r>
    </w:p>
    <w:p>
      <w:pPr>
        <w:pStyle w:val="ListBullet"/>
        <w:spacing w:before="20" w:after="40"/>
        <w:ind w:left="648"/>
      </w:pPr>
      <w:r>
        <w:rPr>
          <w:sz w:val="20"/>
        </w:rPr>
        <w:t>Both axes are labeled with units (count on left, % on right)</w:t>
      </w:r>
    </w:p>
    <w:p>
      <w:pPr>
        <w:pStyle w:val="ListBullet"/>
        <w:spacing w:before="20" w:after="40"/>
        <w:ind w:left="648"/>
      </w:pPr>
      <w:r>
        <w:rPr>
          <w:sz w:val="20"/>
        </w:rPr>
        <w:t>Monthly data points are visible for all 12 months of the selected year</w:t>
      </w:r>
    </w:p>
    <w:p>
      <w:pPr>
        <w:pStyle w:val="ListBullet"/>
        <w:spacing w:before="20" w:after="40"/>
        <w:ind w:left="648"/>
      </w:pPr>
      <w:r>
        <w:rPr>
          <w:sz w:val="20"/>
        </w:rPr>
        <w:t>A reference line or annotation marks the 65% retention target</w:t>
      </w:r>
    </w:p>
    <w:p>
      <w:pPr>
        <w:pStyle w:val="ListBullet"/>
        <w:spacing w:before="20" w:after="40"/>
        <w:ind w:left="648"/>
      </w:pPr>
      <w:r>
        <w:rPr>
          <w:sz w:val="20"/>
        </w:rPr>
        <w:t>Hovering on any data point shows: month, donor count, retention rate</w:t>
      </w:r>
    </w:p>
    <w:p>
      <w:pPr>
        <w:pStyle w:val="ListBullet"/>
        <w:spacing w:before="20" w:after="40"/>
        <w:ind w:left="648"/>
      </w:pPr>
      <w:r>
        <w:rPr>
          <w:sz w:val="20"/>
        </w:rPr>
        <w:t>Chart title includes the metric name and time period</w:t>
      </w:r>
    </w:p>
    <w:p>
      <w:pPr>
        <w:spacing w:before="80" w:after="40"/>
      </w:pPr>
      <w:r>
        <w:rPr>
          <w:b/>
          <w:color w:val="4B6A88"/>
          <w:sz w:val="20"/>
        </w:rPr>
        <w:t>Functional Test Cases:</w:t>
      </w:r>
    </w:p>
    <w:p>
      <w:pPr>
        <w:pStyle w:val="ListBullet"/>
        <w:spacing w:before="20" w:after="40"/>
        <w:ind w:left="648"/>
      </w:pPr>
      <w:r>
        <w:rPr>
          <w:sz w:val="20"/>
        </w:rPr>
        <w:t>FT-02a: Verify 12 monthly data points render for full-year 2024 selection</w:t>
      </w:r>
    </w:p>
    <w:p>
      <w:pPr>
        <w:pStyle w:val="ListBullet"/>
        <w:spacing w:before="20" w:after="40"/>
        <w:ind w:left="648"/>
      </w:pPr>
      <w:r>
        <w:rPr>
          <w:sz w:val="20"/>
        </w:rPr>
        <w:t>FT-02b: Verify retention rate line moves independently of donor count bars on filter change</w:t>
      </w:r>
    </w:p>
    <w:p>
      <w:pPr>
        <w:pStyle w:val="ListBullet"/>
        <w:spacing w:before="20" w:after="40"/>
        <w:ind w:left="648"/>
      </w:pPr>
      <w:r>
        <w:rPr>
          <w:sz w:val="20"/>
        </w:rPr>
        <w:t>FT-02c: Apply Campaign = Women's History Month → verify chart filters to March spike</w:t>
      </w:r>
    </w:p>
    <w:p>
      <w:pPr>
        <w:pStyle w:val="ListBullet"/>
        <w:spacing w:before="20" w:after="40"/>
        <w:ind w:left="648"/>
      </w:pPr>
      <w:r>
        <w:rPr>
          <w:sz w:val="20"/>
        </w:rPr>
        <w:t>FT-02d: Verify tooltip shows correct values on hover for 3 random months</w:t>
      </w:r>
    </w:p>
    <w:p>
      <w:pPr>
        <w:pStyle w:val="ListBullet"/>
        <w:spacing w:before="20" w:after="40"/>
        <w:ind w:left="648"/>
      </w:pPr>
      <w:r>
        <w:rPr>
          <w:sz w:val="20"/>
        </w:rPr>
        <w:t>FT-02e: Verify 65% reference line renders correctly and is labeled</w:t>
      </w:r>
    </w:p>
    <w:p>
      <w:pPr>
        <w:pStyle w:val="ListBullet"/>
        <w:spacing w:before="20" w:after="40"/>
        <w:ind w:left="360"/>
      </w:pPr>
      <w:r>
        <w:rPr>
          <w:b/>
          <w:color w:val="4B6A88"/>
          <w:sz w:val="20"/>
        </w:rPr>
        <w:t xml:space="preserve">Non-Functional Links: </w:t>
      </w:r>
      <w:r>
        <w:rPr>
          <w:sz w:val="20"/>
        </w:rPr>
        <w:t>NFR-006 (usability &lt; 30s), NFR-007 (tooltips), NFR-004 (font size)</w:t>
      </w:r>
    </w:p>
    <w:p/>
    <w:p>
      <w:pPr>
        <w:spacing w:before="140" w:after="40"/>
      </w:pPr>
      <w:r>
        <w:rPr>
          <w:b/>
          <w:color w:val="1F2A44"/>
          <w:sz w:val="22"/>
        </w:rPr>
        <w:t>US-03 — Julie Chen, Director of Development</w:t>
      </w:r>
    </w:p>
    <w:p>
      <w:pPr>
        <w:spacing w:before="40" w:after="80"/>
        <w:ind w:left="432"/>
        <w:pBdr>
          <w:left w:val="single" w:sz="24" w:space="6" w:color="C49A3A"/>
        </w:pBdr>
      </w:pPr>
      <w:r>
        <w:rPr>
          <w:i/>
          <w:color w:val="1F2A44"/>
          <w:sz w:val="20"/>
        </w:rPr>
        <w:t>As a Julie Chen, Director of Development, I need to  see which channel (Email, Social, Direct, Event) generates the most revenue, so that I can allocate my team's effort to the highest-return channels.</w:t>
      </w:r>
    </w:p>
    <w:p>
      <w:pPr>
        <w:pStyle w:val="ListBullet"/>
        <w:spacing w:before="20" w:after="40"/>
        <w:ind w:left="360"/>
      </w:pPr>
      <w:r>
        <w:rPr>
          <w:b/>
          <w:color w:val="4B6A88"/>
          <w:sz w:val="20"/>
        </w:rPr>
        <w:t xml:space="preserve">Wireframe Component: </w:t>
      </w:r>
      <w:r>
        <w:rPr>
          <w:sz w:val="20"/>
        </w:rPr>
        <w:t>Tab 1 — Revenue by Channel (horizontal bar chart)</w:t>
      </w:r>
    </w:p>
    <w:p>
      <w:pPr>
        <w:spacing w:before="80" w:after="40"/>
      </w:pPr>
      <w:r>
        <w:rPr>
          <w:b/>
          <w:color w:val="2E7D63"/>
          <w:sz w:val="20"/>
        </w:rPr>
        <w:t>Acceptance Criteria:</w:t>
      </w:r>
    </w:p>
    <w:p>
      <w:pPr>
        <w:pStyle w:val="ListBullet"/>
        <w:spacing w:before="20" w:after="40"/>
        <w:ind w:left="648"/>
      </w:pPr>
      <w:r>
        <w:rPr>
          <w:sz w:val="20"/>
        </w:rPr>
        <w:t>All four channels appear: Email, Social, Direct, Event</w:t>
      </w:r>
    </w:p>
    <w:p>
      <w:pPr>
        <w:pStyle w:val="ListBullet"/>
        <w:spacing w:before="20" w:after="40"/>
        <w:ind w:left="648"/>
      </w:pPr>
      <w:r>
        <w:rPr>
          <w:sz w:val="20"/>
        </w:rPr>
        <w:t>Bars are sorted descending by revenue (highest at top)</w:t>
      </w:r>
    </w:p>
    <w:p>
      <w:pPr>
        <w:pStyle w:val="ListBullet"/>
        <w:spacing w:before="20" w:after="40"/>
        <w:ind w:left="648"/>
      </w:pPr>
      <w:r>
        <w:rPr>
          <w:sz w:val="20"/>
        </w:rPr>
        <w:t>Each bar shows the revenue amount as a label at the end of the bar</w:t>
      </w:r>
    </w:p>
    <w:p>
      <w:pPr>
        <w:pStyle w:val="ListBullet"/>
        <w:spacing w:before="20" w:after="40"/>
        <w:ind w:left="648"/>
      </w:pPr>
      <w:r>
        <w:rPr>
          <w:sz w:val="20"/>
        </w:rPr>
        <w:t>Color follows Skye brand system (Navy for baseline, no rainbow colors)</w:t>
      </w:r>
    </w:p>
    <w:p>
      <w:pPr>
        <w:pStyle w:val="ListBullet"/>
        <w:spacing w:before="20" w:after="40"/>
        <w:ind w:left="648"/>
      </w:pPr>
      <w:r>
        <w:rPr>
          <w:sz w:val="20"/>
        </w:rPr>
        <w:t>Percentage of total is visible either in tooltip or as a secondary label</w:t>
      </w:r>
    </w:p>
    <w:p>
      <w:pPr>
        <w:pStyle w:val="ListBullet"/>
        <w:spacing w:before="20" w:after="40"/>
        <w:ind w:left="648"/>
      </w:pPr>
      <w:r>
        <w:rPr>
          <w:sz w:val="20"/>
        </w:rPr>
        <w:t>Chart responds to Date Range and Campaign filters</w:t>
      </w:r>
    </w:p>
    <w:p>
      <w:pPr>
        <w:spacing w:before="80" w:after="40"/>
      </w:pPr>
      <w:r>
        <w:rPr>
          <w:b/>
          <w:color w:val="4B6A88"/>
          <w:sz w:val="20"/>
        </w:rPr>
        <w:t>Functional Test Cases:</w:t>
      </w:r>
    </w:p>
    <w:p>
      <w:pPr>
        <w:pStyle w:val="ListBullet"/>
        <w:spacing w:before="20" w:after="40"/>
        <w:ind w:left="648"/>
      </w:pPr>
      <w:r>
        <w:rPr>
          <w:sz w:val="20"/>
        </w:rPr>
        <w:t>FT-03a: Verify all 4 channels appear in the chart</w:t>
      </w:r>
    </w:p>
    <w:p>
      <w:pPr>
        <w:pStyle w:val="ListBullet"/>
        <w:spacing w:before="20" w:after="40"/>
        <w:ind w:left="648"/>
      </w:pPr>
      <w:r>
        <w:rPr>
          <w:sz w:val="20"/>
        </w:rPr>
        <w:t>FT-03b: Verify Email bar is the longest (52% of revenue per dataset)</w:t>
      </w:r>
    </w:p>
    <w:p>
      <w:pPr>
        <w:pStyle w:val="ListBullet"/>
        <w:spacing w:before="20" w:after="40"/>
        <w:ind w:left="648"/>
      </w:pPr>
      <w:r>
        <w:rPr>
          <w:sz w:val="20"/>
        </w:rPr>
        <w:t>FT-03c: Apply Channel filter = Email only → verify bar chart collapses to single bar</w:t>
      </w:r>
    </w:p>
    <w:p>
      <w:pPr>
        <w:pStyle w:val="ListBullet"/>
        <w:spacing w:before="20" w:after="40"/>
        <w:ind w:left="648"/>
      </w:pPr>
      <w:r>
        <w:rPr>
          <w:sz w:val="20"/>
        </w:rPr>
        <w:t>FT-03d: Verify revenue labels appear at end of each bar</w:t>
      </w:r>
    </w:p>
    <w:p>
      <w:pPr>
        <w:pStyle w:val="ListBullet"/>
        <w:spacing w:before="20" w:after="40"/>
        <w:ind w:left="648"/>
      </w:pPr>
      <w:r>
        <w:rPr>
          <w:sz w:val="20"/>
        </w:rPr>
        <w:t>FT-03e: Change Date Range → verify bar lengths update proportionally</w:t>
      </w:r>
    </w:p>
    <w:p>
      <w:pPr>
        <w:pStyle w:val="ListBullet"/>
        <w:spacing w:before="20" w:after="40"/>
        <w:ind w:left="360"/>
      </w:pPr>
      <w:r>
        <w:rPr>
          <w:b/>
          <w:color w:val="4B6A88"/>
          <w:sz w:val="20"/>
        </w:rPr>
        <w:t xml:space="preserve">Non-Functional Links: </w:t>
      </w:r>
      <w:r>
        <w:rPr>
          <w:sz w:val="20"/>
        </w:rPr>
        <w:t>NFR-005 (color-blind safe), NFR-003 (contrast), NFR-006 (usability)</w:t>
      </w:r>
    </w:p>
    <w:p/>
    <w:p>
      <w:pPr>
        <w:spacing w:before="140" w:after="40"/>
      </w:pPr>
      <w:r>
        <w:rPr>
          <w:b/>
          <w:color w:val="1F2A44"/>
          <w:sz w:val="22"/>
        </w:rPr>
        <w:t>US-04 — Chloe Rivera, Director of Marketing</w:t>
      </w:r>
    </w:p>
    <w:p>
      <w:pPr>
        <w:spacing w:before="40" w:after="80"/>
        <w:ind w:left="432"/>
        <w:pBdr>
          <w:left w:val="single" w:sz="24" w:space="6" w:color="C49A3A"/>
        </w:pBdr>
      </w:pPr>
      <w:r>
        <w:rPr>
          <w:i/>
          <w:color w:val="1F2A44"/>
          <w:sz w:val="20"/>
        </w:rPr>
        <w:t>As a Chloe Rivera, Director of Marketing, I need to  see campaign ROI ranked from highest to lowest, so that I can make the case for increasing the marketing budget for high-return campaigns.</w:t>
      </w:r>
    </w:p>
    <w:p>
      <w:pPr>
        <w:pStyle w:val="ListBullet"/>
        <w:spacing w:before="20" w:after="40"/>
        <w:ind w:left="360"/>
      </w:pPr>
      <w:r>
        <w:rPr>
          <w:b/>
          <w:color w:val="4B6A88"/>
          <w:sz w:val="20"/>
        </w:rPr>
        <w:t xml:space="preserve">Wireframe Component: </w:t>
      </w:r>
      <w:r>
        <w:rPr>
          <w:sz w:val="20"/>
        </w:rPr>
        <w:t>Tab 1 — Campaign ROI Ranking (horizontal bar chart with ROI multiplier)</w:t>
      </w:r>
    </w:p>
    <w:p>
      <w:pPr>
        <w:spacing w:before="80" w:after="40"/>
      </w:pPr>
      <w:r>
        <w:rPr>
          <w:b/>
          <w:color w:val="2E7D63"/>
          <w:sz w:val="20"/>
        </w:rPr>
        <w:t>Acceptance Criteria:</w:t>
      </w:r>
    </w:p>
    <w:p>
      <w:pPr>
        <w:pStyle w:val="ListBullet"/>
        <w:spacing w:before="20" w:after="40"/>
        <w:ind w:left="648"/>
      </w:pPr>
      <w:r>
        <w:rPr>
          <w:sz w:val="20"/>
        </w:rPr>
        <w:t>Campaigns are ranked descending by ROI (highest at top)</w:t>
      </w:r>
    </w:p>
    <w:p>
      <w:pPr>
        <w:pStyle w:val="ListBullet"/>
        <w:spacing w:before="20" w:after="40"/>
        <w:ind w:left="648"/>
      </w:pPr>
      <w:r>
        <w:rPr>
          <w:sz w:val="20"/>
        </w:rPr>
        <w:t>ROI is displayed as a multiplier (e.g. 6.8x) not a raw dollar amount</w:t>
      </w:r>
    </w:p>
    <w:p>
      <w:pPr>
        <w:pStyle w:val="ListBullet"/>
        <w:spacing w:before="20" w:after="40"/>
        <w:ind w:left="648"/>
      </w:pPr>
      <w:r>
        <w:rPr>
          <w:sz w:val="20"/>
        </w:rPr>
        <w:t>Top-performing campaign (Women's History Month) is visually highlighted in Mission Gold</w:t>
      </w:r>
    </w:p>
    <w:p>
      <w:pPr>
        <w:pStyle w:val="ListBullet"/>
        <w:spacing w:before="20" w:after="40"/>
        <w:ind w:left="648"/>
      </w:pPr>
      <w:r>
        <w:rPr>
          <w:sz w:val="20"/>
        </w:rPr>
        <w:t>A breakeven reference line at 1.0x is visible</w:t>
      </w:r>
    </w:p>
    <w:p>
      <w:pPr>
        <w:pStyle w:val="ListBullet"/>
        <w:spacing w:before="20" w:after="40"/>
        <w:ind w:left="648"/>
      </w:pPr>
      <w:r>
        <w:rPr>
          <w:sz w:val="20"/>
        </w:rPr>
        <w:t>Bars use Signal Coral for any campaign with ROI &lt; 1.0x (loss-making)</w:t>
      </w:r>
    </w:p>
    <w:p>
      <w:pPr>
        <w:pStyle w:val="ListBullet"/>
        <w:spacing w:before="20" w:after="40"/>
        <w:ind w:left="648"/>
      </w:pPr>
      <w:r>
        <w:rPr>
          <w:sz w:val="20"/>
        </w:rPr>
        <w:t>Tooltip shows: campaign name, total revenue, total cost, ROI multiplier</w:t>
      </w:r>
    </w:p>
    <w:p>
      <w:pPr>
        <w:spacing w:before="80" w:after="40"/>
      </w:pPr>
      <w:r>
        <w:rPr>
          <w:b/>
          <w:color w:val="4B6A88"/>
          <w:sz w:val="20"/>
        </w:rPr>
        <w:t>Functional Test Cases:</w:t>
      </w:r>
    </w:p>
    <w:p>
      <w:pPr>
        <w:pStyle w:val="ListBullet"/>
        <w:spacing w:before="20" w:after="40"/>
        <w:ind w:left="648"/>
      </w:pPr>
      <w:r>
        <w:rPr>
          <w:sz w:val="20"/>
        </w:rPr>
        <w:t>FT-04a: Verify Women's History Month is ranked #1 with ROI = 6.8x</w:t>
      </w:r>
    </w:p>
    <w:p>
      <w:pPr>
        <w:pStyle w:val="ListBullet"/>
        <w:spacing w:before="20" w:after="40"/>
        <w:ind w:left="648"/>
      </w:pPr>
      <w:r>
        <w:rPr>
          <w:sz w:val="20"/>
        </w:rPr>
        <w:t>FT-04b: Verify Gold color applied to top campaign bar</w:t>
      </w:r>
    </w:p>
    <w:p>
      <w:pPr>
        <w:pStyle w:val="ListBullet"/>
        <w:spacing w:before="20" w:after="40"/>
        <w:ind w:left="648"/>
      </w:pPr>
      <w:r>
        <w:rPr>
          <w:sz w:val="20"/>
        </w:rPr>
        <w:t>FT-04c: Verify breakeven line at 1.0x renders and is labeled</w:t>
      </w:r>
    </w:p>
    <w:p>
      <w:pPr>
        <w:pStyle w:val="ListBullet"/>
        <w:spacing w:before="20" w:after="40"/>
        <w:ind w:left="648"/>
      </w:pPr>
      <w:r>
        <w:rPr>
          <w:sz w:val="20"/>
        </w:rPr>
        <w:t>FT-04d: Modify test data to include a loss-making campaign → verify Coral color applies</w:t>
      </w:r>
    </w:p>
    <w:p>
      <w:pPr>
        <w:pStyle w:val="ListBullet"/>
        <w:spacing w:before="20" w:after="40"/>
        <w:ind w:left="648"/>
      </w:pPr>
      <w:r>
        <w:rPr>
          <w:sz w:val="20"/>
        </w:rPr>
        <w:t>FT-04e: Verify tooltip shows all three values (revenue, cost, ROI) on hover</w:t>
      </w:r>
    </w:p>
    <w:p>
      <w:pPr>
        <w:pStyle w:val="ListBullet"/>
        <w:spacing w:before="20" w:after="40"/>
        <w:ind w:left="360"/>
      </w:pPr>
      <w:r>
        <w:rPr>
          <w:b/>
          <w:color w:val="4B6A88"/>
          <w:sz w:val="20"/>
        </w:rPr>
        <w:t xml:space="preserve">Non-Functional Links: </w:t>
      </w:r>
      <w:r>
        <w:rPr>
          <w:sz w:val="20"/>
        </w:rPr>
        <w:t>NFR-009 (accuracy), NFR-007 (tooltips), NFR-011 (no PII)</w:t>
      </w:r>
    </w:p>
    <w:p/>
    <w:p>
      <w:pPr>
        <w:spacing w:before="140" w:after="40"/>
      </w:pPr>
      <w:r>
        <w:rPr>
          <w:b/>
          <w:color w:val="1F2A44"/>
          <w:sz w:val="22"/>
        </w:rPr>
        <w:t>US-05 — Chloe Rivera, Director of Marketing</w:t>
      </w:r>
    </w:p>
    <w:p>
      <w:pPr>
        <w:spacing w:before="40" w:after="80"/>
        <w:ind w:left="432"/>
        <w:pBdr>
          <w:left w:val="single" w:sz="24" w:space="6" w:color="C49A3A"/>
        </w:pBdr>
      </w:pPr>
      <w:r>
        <w:rPr>
          <w:i/>
          <w:color w:val="1F2A44"/>
          <w:sz w:val="20"/>
        </w:rPr>
        <w:t>As a Chloe Rivera, Director of Marketing, I need to  see the insight annotation at the bottom of the overview tab, so that I can quickly understand what the data means without building my own analysis.</w:t>
      </w:r>
    </w:p>
    <w:p>
      <w:pPr>
        <w:pStyle w:val="ListBullet"/>
        <w:spacing w:before="20" w:after="40"/>
        <w:ind w:left="360"/>
      </w:pPr>
      <w:r>
        <w:rPr>
          <w:b/>
          <w:color w:val="4B6A88"/>
          <w:sz w:val="20"/>
        </w:rPr>
        <w:t xml:space="preserve">Wireframe Component: </w:t>
      </w:r>
      <w:r>
        <w:rPr>
          <w:sz w:val="20"/>
        </w:rPr>
        <w:t>Tab 1 — Insight Annotation Bar (green callout at bottom of tab)</w:t>
      </w:r>
    </w:p>
    <w:p>
      <w:pPr>
        <w:spacing w:before="80" w:after="40"/>
      </w:pPr>
      <w:r>
        <w:rPr>
          <w:b/>
          <w:color w:val="2E7D63"/>
          <w:sz w:val="20"/>
        </w:rPr>
        <w:t>Acceptance Criteria:</w:t>
      </w:r>
    </w:p>
    <w:p>
      <w:pPr>
        <w:pStyle w:val="ListBullet"/>
        <w:spacing w:before="20" w:after="40"/>
        <w:ind w:left="648"/>
      </w:pPr>
      <w:r>
        <w:rPr>
          <w:sz w:val="20"/>
        </w:rPr>
        <w:t>Annotation bar is visually distinct from charts (different background, left border in Civic Green)</w:t>
      </w:r>
    </w:p>
    <w:p>
      <w:pPr>
        <w:pStyle w:val="ListBullet"/>
        <w:spacing w:before="20" w:after="40"/>
        <w:ind w:left="648"/>
      </w:pPr>
      <w:r>
        <w:rPr>
          <w:sz w:val="20"/>
        </w:rPr>
        <w:t>Text is plain English — no technical jargon or metric formula references</w:t>
      </w:r>
    </w:p>
    <w:p>
      <w:pPr>
        <w:pStyle w:val="ListBullet"/>
        <w:spacing w:before="20" w:after="40"/>
        <w:ind w:left="648"/>
      </w:pPr>
      <w:r>
        <w:rPr>
          <w:sz w:val="20"/>
        </w:rPr>
        <w:t>Annotation references at least one specific finding from the data visible on the tab</w:t>
      </w:r>
    </w:p>
    <w:p>
      <w:pPr>
        <w:pStyle w:val="ListBullet"/>
        <w:spacing w:before="20" w:after="40"/>
        <w:ind w:left="648"/>
      </w:pPr>
      <w:r>
        <w:rPr>
          <w:sz w:val="20"/>
        </w:rPr>
        <w:t>Annotation updates or is reviewed when the underlying data refreshes</w:t>
      </w:r>
    </w:p>
    <w:p>
      <w:pPr>
        <w:pStyle w:val="ListBullet"/>
        <w:spacing w:before="20" w:after="40"/>
        <w:ind w:left="648"/>
      </w:pPr>
      <w:r>
        <w:rPr>
          <w:sz w:val="20"/>
        </w:rPr>
        <w:t>Font size is minimum 10pt and readable without zooming</w:t>
      </w:r>
    </w:p>
    <w:p>
      <w:pPr>
        <w:spacing w:before="80" w:after="40"/>
      </w:pPr>
      <w:r>
        <w:rPr>
          <w:b/>
          <w:color w:val="4B6A88"/>
          <w:sz w:val="20"/>
        </w:rPr>
        <w:t>Functional Test Cases:</w:t>
      </w:r>
    </w:p>
    <w:p>
      <w:pPr>
        <w:pStyle w:val="ListBullet"/>
        <w:spacing w:before="20" w:after="40"/>
        <w:ind w:left="648"/>
      </w:pPr>
      <w:r>
        <w:rPr>
          <w:sz w:val="20"/>
        </w:rPr>
        <w:t>FT-05a: Verify annotation bar renders at the bottom of Tab 1</w:t>
      </w:r>
    </w:p>
    <w:p>
      <w:pPr>
        <w:pStyle w:val="ListBullet"/>
        <w:spacing w:before="20" w:after="40"/>
        <w:ind w:left="648"/>
      </w:pPr>
      <w:r>
        <w:rPr>
          <w:sz w:val="20"/>
        </w:rPr>
        <w:t>FT-05b: Verify annotation text references Women's History Month and retention rate</w:t>
      </w:r>
    </w:p>
    <w:p>
      <w:pPr>
        <w:pStyle w:val="ListBullet"/>
        <w:spacing w:before="20" w:after="40"/>
        <w:ind w:left="648"/>
      </w:pPr>
      <w:r>
        <w:rPr>
          <w:sz w:val="20"/>
        </w:rPr>
        <w:t>FT-05c: Verify annotation is visible without scrolling on 1366px screen</w:t>
      </w:r>
    </w:p>
    <w:p>
      <w:pPr>
        <w:pStyle w:val="ListBullet"/>
        <w:spacing w:before="20" w:after="40"/>
        <w:ind w:left="648"/>
      </w:pPr>
      <w:r>
        <w:rPr>
          <w:sz w:val="20"/>
        </w:rPr>
        <w:t>FT-05d: Verify annotation does not overlap any chart elements</w:t>
      </w:r>
    </w:p>
    <w:p>
      <w:pPr>
        <w:pStyle w:val="ListBullet"/>
        <w:spacing w:before="20" w:after="40"/>
        <w:ind w:left="360"/>
      </w:pPr>
      <w:r>
        <w:rPr>
          <w:b/>
          <w:color w:val="4B6A88"/>
          <w:sz w:val="20"/>
        </w:rPr>
        <w:t xml:space="preserve">Non-Functional Links: </w:t>
      </w:r>
      <w:r>
        <w:rPr>
          <w:sz w:val="20"/>
        </w:rPr>
        <w:t>NFR-007 (self-documentation), NFR-006 (time-to-insight), NFR-004 (font size)</w:t>
      </w:r>
    </w:p>
    <w:p/>
    <w:p>
      <w:pPr>
        <w:spacing w:before="140" w:after="40"/>
      </w:pPr>
      <w:r>
        <w:rPr>
          <w:b/>
          <w:color w:val="3E8A8B"/>
          <w:sz w:val="22"/>
        </w:rPr>
        <w:t>Stories for Tab 2 — Campaign Performance</w:t>
      </w:r>
    </w:p>
    <w:p>
      <w:pPr>
        <w:spacing w:before="140" w:after="40"/>
      </w:pPr>
      <w:r>
        <w:rPr>
          <w:b/>
          <w:color w:val="1F2A44"/>
          <w:sz w:val="22"/>
        </w:rPr>
        <w:t>US-06 — Chloe Rivera, Director of Marketing</w:t>
      </w:r>
    </w:p>
    <w:p>
      <w:pPr>
        <w:spacing w:before="40" w:after="80"/>
        <w:ind w:left="432"/>
        <w:pBdr>
          <w:left w:val="single" w:sz="24" w:space="6" w:color="C49A3A"/>
        </w:pBdr>
      </w:pPr>
      <w:r>
        <w:rPr>
          <w:i/>
          <w:color w:val="1F2A44"/>
          <w:sz w:val="20"/>
        </w:rPr>
        <w:t>As a Chloe Rivera, Director of Marketing, I need to  see the full email engagement funnel from sent to donation, so that I can identify where donors are dropping off and optimize our email strategy.</w:t>
      </w:r>
    </w:p>
    <w:p>
      <w:pPr>
        <w:pStyle w:val="ListBullet"/>
        <w:spacing w:before="20" w:after="40"/>
        <w:ind w:left="360"/>
      </w:pPr>
      <w:r>
        <w:rPr>
          <w:b/>
          <w:color w:val="4B6A88"/>
          <w:sz w:val="20"/>
        </w:rPr>
        <w:t xml:space="preserve">Wireframe Component: </w:t>
      </w:r>
      <w:r>
        <w:rPr>
          <w:sz w:val="20"/>
        </w:rPr>
        <w:t>Tab 2 — Email Engagement Funnel (4-stage: Sent → Opened → Clicked → Donated)</w:t>
      </w:r>
    </w:p>
    <w:p>
      <w:pPr>
        <w:spacing w:before="80" w:after="40"/>
      </w:pPr>
      <w:r>
        <w:rPr>
          <w:b/>
          <w:color w:val="2E7D63"/>
          <w:sz w:val="20"/>
        </w:rPr>
        <w:t>Acceptance Criteria:</w:t>
      </w:r>
    </w:p>
    <w:p>
      <w:pPr>
        <w:pStyle w:val="ListBullet"/>
        <w:spacing w:before="20" w:after="40"/>
        <w:ind w:left="648"/>
      </w:pPr>
      <w:r>
        <w:rPr>
          <w:sz w:val="20"/>
        </w:rPr>
        <w:t>Funnel shows exactly 4 stages: Sent, Opened, Clicked, Donated</w:t>
      </w:r>
    </w:p>
    <w:p>
      <w:pPr>
        <w:pStyle w:val="ListBullet"/>
        <w:spacing w:before="20" w:after="40"/>
        <w:ind w:left="648"/>
      </w:pPr>
      <w:r>
        <w:rPr>
          <w:sz w:val="20"/>
        </w:rPr>
        <w:t>Each stage shows: absolute count AND percentage of previous stage</w:t>
      </w:r>
    </w:p>
    <w:p>
      <w:pPr>
        <w:pStyle w:val="ListBullet"/>
        <w:spacing w:before="20" w:after="40"/>
        <w:ind w:left="648"/>
      </w:pPr>
      <w:r>
        <w:rPr>
          <w:sz w:val="20"/>
        </w:rPr>
        <w:t>Funnel visually narrows from top to bottom (shape communicates drop-off)</w:t>
      </w:r>
    </w:p>
    <w:p>
      <w:pPr>
        <w:pStyle w:val="ListBullet"/>
        <w:spacing w:before="20" w:after="40"/>
        <w:ind w:left="648"/>
      </w:pPr>
      <w:r>
        <w:rPr>
          <w:sz w:val="20"/>
        </w:rPr>
        <w:t>Stage colors progress from Navy → Slate → Teal → Green (cool to warm = progress)</w:t>
      </w:r>
    </w:p>
    <w:p>
      <w:pPr>
        <w:pStyle w:val="ListBullet"/>
        <w:spacing w:before="20" w:after="40"/>
        <w:ind w:left="648"/>
      </w:pPr>
      <w:r>
        <w:rPr>
          <w:sz w:val="20"/>
        </w:rPr>
        <w:t>Clicking a funnel stage filters the related campaign charts to email channel only</w:t>
      </w:r>
    </w:p>
    <w:p>
      <w:pPr>
        <w:pStyle w:val="ListBullet"/>
        <w:spacing w:before="20" w:after="40"/>
        <w:ind w:left="648"/>
      </w:pPr>
      <w:r>
        <w:rPr>
          <w:sz w:val="20"/>
        </w:rPr>
        <w:t>Funnel responds to Campaign and Date filters</w:t>
      </w:r>
    </w:p>
    <w:p>
      <w:pPr>
        <w:spacing w:before="80" w:after="40"/>
      </w:pPr>
      <w:r>
        <w:rPr>
          <w:b/>
          <w:color w:val="4B6A88"/>
          <w:sz w:val="20"/>
        </w:rPr>
        <w:t>Functional Test Cases:</w:t>
      </w:r>
    </w:p>
    <w:p>
      <w:pPr>
        <w:pStyle w:val="ListBullet"/>
        <w:spacing w:before="20" w:after="40"/>
        <w:ind w:left="648"/>
      </w:pPr>
      <w:r>
        <w:rPr>
          <w:sz w:val="20"/>
        </w:rPr>
        <w:t>FT-06a: Verify 4 stages render with correct labels</w:t>
      </w:r>
    </w:p>
    <w:p>
      <w:pPr>
        <w:pStyle w:val="ListBullet"/>
        <w:spacing w:before="20" w:after="40"/>
        <w:ind w:left="648"/>
      </w:pPr>
      <w:r>
        <w:rPr>
          <w:sz w:val="20"/>
        </w:rPr>
        <w:t>FT-06b: Verify stage counts: Sent=22,400; Opened=8,960 (40%); Clicked=3,763 (42%); Donated=1,190 (32%)</w:t>
      </w:r>
    </w:p>
    <w:p>
      <w:pPr>
        <w:pStyle w:val="ListBullet"/>
        <w:spacing w:before="20" w:after="40"/>
        <w:ind w:left="648"/>
      </w:pPr>
      <w:r>
        <w:rPr>
          <w:sz w:val="20"/>
        </w:rPr>
        <w:t>FT-06c: Apply Campaign filter → verify funnel counts update</w:t>
      </w:r>
    </w:p>
    <w:p>
      <w:pPr>
        <w:pStyle w:val="ListBullet"/>
        <w:spacing w:before="20" w:after="40"/>
        <w:ind w:left="648"/>
      </w:pPr>
      <w:r>
        <w:rPr>
          <w:sz w:val="20"/>
        </w:rPr>
        <w:t>FT-06d: Verify percentage shown is vs previous stage (not vs total sent)</w:t>
      </w:r>
    </w:p>
    <w:p>
      <w:pPr>
        <w:pStyle w:val="ListBullet"/>
        <w:spacing w:before="20" w:after="40"/>
        <w:ind w:left="648"/>
      </w:pPr>
      <w:r>
        <w:rPr>
          <w:sz w:val="20"/>
        </w:rPr>
        <w:t>FT-06e: Verify funnel visually narrows — widest at Sent, narrowest at Donated</w:t>
      </w:r>
    </w:p>
    <w:p>
      <w:pPr>
        <w:pStyle w:val="ListBullet"/>
        <w:spacing w:before="20" w:after="40"/>
        <w:ind w:left="360"/>
      </w:pPr>
      <w:r>
        <w:rPr>
          <w:b/>
          <w:color w:val="4B6A88"/>
          <w:sz w:val="20"/>
        </w:rPr>
        <w:t xml:space="preserve">Non-Functional Links: </w:t>
      </w:r>
      <w:r>
        <w:rPr>
          <w:sz w:val="20"/>
        </w:rPr>
        <w:t>NFR-007 (tooltips), NFR-003 (contrast), NFR-009 (accuracy)</w:t>
      </w:r>
    </w:p>
    <w:p/>
    <w:p>
      <w:pPr>
        <w:spacing w:before="140" w:after="40"/>
      </w:pPr>
      <w:r>
        <w:rPr>
          <w:b/>
          <w:color w:val="1F2A44"/>
          <w:sz w:val="22"/>
        </w:rPr>
        <w:t>US-07 — Chloe Rivera, Director of Marketing</w:t>
      </w:r>
    </w:p>
    <w:p>
      <w:pPr>
        <w:spacing w:before="40" w:after="80"/>
        <w:ind w:left="432"/>
        <w:pBdr>
          <w:left w:val="single" w:sz="24" w:space="6" w:color="C49A3A"/>
        </w:pBdr>
      </w:pPr>
      <w:r>
        <w:rPr>
          <w:i/>
          <w:color w:val="1F2A44"/>
          <w:sz w:val="20"/>
        </w:rPr>
        <w:t>As a Chloe Rivera, Director of Marketing, I need to  compare campaign revenue against campaign cost side by side, so that I can identify which campaigns deliver the most value per dollar spent.</w:t>
      </w:r>
    </w:p>
    <w:p>
      <w:pPr>
        <w:pStyle w:val="ListBullet"/>
        <w:spacing w:before="20" w:after="40"/>
        <w:ind w:left="360"/>
      </w:pPr>
      <w:r>
        <w:rPr>
          <w:b/>
          <w:color w:val="4B6A88"/>
          <w:sz w:val="20"/>
        </w:rPr>
        <w:t xml:space="preserve">Wireframe Component: </w:t>
      </w:r>
      <w:r>
        <w:rPr>
          <w:sz w:val="20"/>
        </w:rPr>
        <w:t>Tab 2 — Cost vs Net Revenue grouped bar chart</w:t>
      </w:r>
    </w:p>
    <w:p>
      <w:pPr>
        <w:spacing w:before="80" w:after="40"/>
      </w:pPr>
      <w:r>
        <w:rPr>
          <w:b/>
          <w:color w:val="2E7D63"/>
          <w:sz w:val="20"/>
        </w:rPr>
        <w:t>Acceptance Criteria:</w:t>
      </w:r>
    </w:p>
    <w:p>
      <w:pPr>
        <w:pStyle w:val="ListBullet"/>
        <w:spacing w:before="20" w:after="40"/>
        <w:ind w:left="648"/>
      </w:pPr>
      <w:r>
        <w:rPr>
          <w:sz w:val="20"/>
        </w:rPr>
        <w:t>Each campaign shows two bars: one for Revenue (Navy), one for Cost (Coral)</w:t>
      </w:r>
    </w:p>
    <w:p>
      <w:pPr>
        <w:pStyle w:val="ListBullet"/>
        <w:spacing w:before="20" w:after="40"/>
        <w:ind w:left="648"/>
      </w:pPr>
      <w:r>
        <w:rPr>
          <w:sz w:val="20"/>
        </w:rPr>
        <w:t>A legend clearly identifies which color is Revenue and which is Cost</w:t>
      </w:r>
    </w:p>
    <w:p>
      <w:pPr>
        <w:pStyle w:val="ListBullet"/>
        <w:spacing w:before="20" w:after="40"/>
        <w:ind w:left="648"/>
      </w:pPr>
      <w:r>
        <w:rPr>
          <w:sz w:val="20"/>
        </w:rPr>
        <w:t>Campaigns where Cost &gt; Revenue are visually obvious (Coral bar taller than Navy bar)</w:t>
      </w:r>
    </w:p>
    <w:p>
      <w:pPr>
        <w:pStyle w:val="ListBullet"/>
        <w:spacing w:before="20" w:after="40"/>
        <w:ind w:left="648"/>
      </w:pPr>
      <w:r>
        <w:rPr>
          <w:sz w:val="20"/>
        </w:rPr>
        <w:t>Revenue and Cost bars are adjacent (grouped), not stacked</w:t>
      </w:r>
    </w:p>
    <w:p>
      <w:pPr>
        <w:pStyle w:val="ListBullet"/>
        <w:spacing w:before="20" w:after="40"/>
        <w:ind w:left="648"/>
      </w:pPr>
      <w:r>
        <w:rPr>
          <w:sz w:val="20"/>
        </w:rPr>
        <w:t>Y-axis is labeled with $ and appropriate scale</w:t>
      </w:r>
    </w:p>
    <w:p>
      <w:pPr>
        <w:pStyle w:val="ListBullet"/>
        <w:spacing w:before="20" w:after="40"/>
        <w:ind w:left="648"/>
      </w:pPr>
      <w:r>
        <w:rPr>
          <w:sz w:val="20"/>
        </w:rPr>
        <w:t>Tooltip shows: campaign name, revenue, cost, net revenue</w:t>
      </w:r>
    </w:p>
    <w:p>
      <w:pPr>
        <w:spacing w:before="80" w:after="40"/>
      </w:pPr>
      <w:r>
        <w:rPr>
          <w:b/>
          <w:color w:val="4B6A88"/>
          <w:sz w:val="20"/>
        </w:rPr>
        <w:t>Functional Test Cases:</w:t>
      </w:r>
    </w:p>
    <w:p>
      <w:pPr>
        <w:pStyle w:val="ListBullet"/>
        <w:spacing w:before="20" w:after="40"/>
        <w:ind w:left="648"/>
      </w:pPr>
      <w:r>
        <w:rPr>
          <w:sz w:val="20"/>
        </w:rPr>
        <w:t>FT-07a: Verify all campaign pairs render with both Revenue and Cost bars</w:t>
      </w:r>
    </w:p>
    <w:p>
      <w:pPr>
        <w:pStyle w:val="ListBullet"/>
        <w:spacing w:before="20" w:after="40"/>
        <w:ind w:left="648"/>
      </w:pPr>
      <w:r>
        <w:rPr>
          <w:sz w:val="20"/>
        </w:rPr>
        <w:t>FT-07b: Verify Major Donor Event has the highest Cost bar (target: $20k)</w:t>
      </w:r>
    </w:p>
    <w:p>
      <w:pPr>
        <w:pStyle w:val="ListBullet"/>
        <w:spacing w:before="20" w:after="40"/>
        <w:ind w:left="648"/>
      </w:pPr>
      <w:r>
        <w:rPr>
          <w:sz w:val="20"/>
        </w:rPr>
        <w:t>FT-07c: Verify Women's History Month has the highest Revenue bar (target: $195k)</w:t>
      </w:r>
    </w:p>
    <w:p>
      <w:pPr>
        <w:pStyle w:val="ListBullet"/>
        <w:spacing w:before="20" w:after="40"/>
        <w:ind w:left="648"/>
      </w:pPr>
      <w:r>
        <w:rPr>
          <w:sz w:val="20"/>
        </w:rPr>
        <w:t>FT-07d: Verify legend renders correctly with Navy = Revenue, Coral = Cost</w:t>
      </w:r>
    </w:p>
    <w:p>
      <w:pPr>
        <w:pStyle w:val="ListBullet"/>
        <w:spacing w:before="20" w:after="40"/>
        <w:ind w:left="648"/>
      </w:pPr>
      <w:r>
        <w:rPr>
          <w:sz w:val="20"/>
        </w:rPr>
        <w:t>FT-07e: Verify Net Revenue is calculable from tooltip data (Revenue − Cost)</w:t>
      </w:r>
    </w:p>
    <w:p>
      <w:pPr>
        <w:pStyle w:val="ListBullet"/>
        <w:spacing w:before="20" w:after="40"/>
        <w:ind w:left="360"/>
      </w:pPr>
      <w:r>
        <w:rPr>
          <w:b/>
          <w:color w:val="4B6A88"/>
          <w:sz w:val="20"/>
        </w:rPr>
        <w:t xml:space="preserve">Non-Functional Links: </w:t>
      </w:r>
      <w:r>
        <w:rPr>
          <w:sz w:val="20"/>
        </w:rPr>
        <w:t>NFR-005 (color-blind safe), NFR-009 (accuracy), NFR-007 (tooltips)</w:t>
      </w:r>
    </w:p>
    <w:p/>
    <w:p>
      <w:pPr>
        <w:spacing w:before="140" w:after="40"/>
      </w:pPr>
      <w:r>
        <w:rPr>
          <w:b/>
          <w:color w:val="1F2A44"/>
          <w:sz w:val="22"/>
        </w:rPr>
        <w:t>US-08 — Julie Chen, Director of Development</w:t>
      </w:r>
    </w:p>
    <w:p>
      <w:pPr>
        <w:spacing w:before="40" w:after="80"/>
        <w:ind w:left="432"/>
        <w:pBdr>
          <w:left w:val="single" w:sz="24" w:space="6" w:color="C49A3A"/>
        </w:pBdr>
      </w:pPr>
      <w:r>
        <w:rPr>
          <w:i/>
          <w:color w:val="1F2A44"/>
          <w:sz w:val="20"/>
        </w:rPr>
        <w:t>As a Julie Chen, Director of Development, I need to  see revenue broken down by campaign ranked from top to bottom, so that I can quickly identify which campaigns to scale for next year's plan.</w:t>
      </w:r>
    </w:p>
    <w:p>
      <w:pPr>
        <w:pStyle w:val="ListBullet"/>
        <w:spacing w:before="20" w:after="40"/>
        <w:ind w:left="360"/>
      </w:pPr>
      <w:r>
        <w:rPr>
          <w:b/>
          <w:color w:val="4B6A88"/>
          <w:sz w:val="20"/>
        </w:rPr>
        <w:t xml:space="preserve">Wireframe Component: </w:t>
      </w:r>
      <w:r>
        <w:rPr>
          <w:sz w:val="20"/>
        </w:rPr>
        <w:t>Tab 2 — Revenue by Campaign (horizontal bar, sorted descending, Gold highlight on top)</w:t>
      </w:r>
    </w:p>
    <w:p>
      <w:pPr>
        <w:spacing w:before="80" w:after="40"/>
      </w:pPr>
      <w:r>
        <w:rPr>
          <w:b/>
          <w:color w:val="2E7D63"/>
          <w:sz w:val="20"/>
        </w:rPr>
        <w:t>Acceptance Criteria:</w:t>
      </w:r>
    </w:p>
    <w:p>
      <w:pPr>
        <w:pStyle w:val="ListBullet"/>
        <w:spacing w:before="20" w:after="40"/>
        <w:ind w:left="648"/>
      </w:pPr>
      <w:r>
        <w:rPr>
          <w:sz w:val="20"/>
        </w:rPr>
        <w:t>All campaigns appear — minimum 9 from the demo dataset</w:t>
      </w:r>
    </w:p>
    <w:p>
      <w:pPr>
        <w:pStyle w:val="ListBullet"/>
        <w:spacing w:before="20" w:after="40"/>
        <w:ind w:left="648"/>
      </w:pPr>
      <w:r>
        <w:rPr>
          <w:sz w:val="20"/>
        </w:rPr>
        <w:t>Campaigns are sorted descending by revenue (highest at top)</w:t>
      </w:r>
    </w:p>
    <w:p>
      <w:pPr>
        <w:pStyle w:val="ListBullet"/>
        <w:spacing w:before="20" w:after="40"/>
        <w:ind w:left="648"/>
      </w:pPr>
      <w:r>
        <w:rPr>
          <w:sz w:val="20"/>
        </w:rPr>
        <w:t>Top campaign bar is highlighted in Mission Gold</w:t>
      </w:r>
    </w:p>
    <w:p>
      <w:pPr>
        <w:pStyle w:val="ListBullet"/>
        <w:spacing w:before="20" w:after="40"/>
        <w:ind w:left="648"/>
      </w:pPr>
      <w:r>
        <w:rPr>
          <w:sz w:val="20"/>
        </w:rPr>
        <w:t>Revenue dollar amount is labeled at the end of each bar</w:t>
      </w:r>
    </w:p>
    <w:p>
      <w:pPr>
        <w:pStyle w:val="ListBullet"/>
        <w:spacing w:before="20" w:after="40"/>
        <w:ind w:left="648"/>
      </w:pPr>
      <w:r>
        <w:rPr>
          <w:sz w:val="20"/>
        </w:rPr>
        <w:t>Clicking a campaign bar filters all other Tab 2 charts to that campaign</w:t>
      </w:r>
    </w:p>
    <w:p>
      <w:pPr>
        <w:pStyle w:val="ListBullet"/>
        <w:spacing w:before="20" w:after="40"/>
        <w:ind w:left="648"/>
      </w:pPr>
      <w:r>
        <w:rPr>
          <w:sz w:val="20"/>
        </w:rPr>
        <w:t>Filter context (year, channel, segment) affects which campaigns appear</w:t>
      </w:r>
    </w:p>
    <w:p>
      <w:pPr>
        <w:spacing w:before="80" w:after="40"/>
      </w:pPr>
      <w:r>
        <w:rPr>
          <w:b/>
          <w:color w:val="4B6A88"/>
          <w:sz w:val="20"/>
        </w:rPr>
        <w:t>Functional Test Cases:</w:t>
      </w:r>
    </w:p>
    <w:p>
      <w:pPr>
        <w:pStyle w:val="ListBullet"/>
        <w:spacing w:before="20" w:after="40"/>
        <w:ind w:left="648"/>
      </w:pPr>
      <w:r>
        <w:rPr>
          <w:sz w:val="20"/>
        </w:rPr>
        <w:t>FT-08a: Verify Women's History Month is top bar ($195k)</w:t>
      </w:r>
    </w:p>
    <w:p>
      <w:pPr>
        <w:pStyle w:val="ListBullet"/>
        <w:spacing w:before="20" w:after="40"/>
        <w:ind w:left="648"/>
      </w:pPr>
      <w:r>
        <w:rPr>
          <w:sz w:val="20"/>
        </w:rPr>
        <w:t>FT-08b: Verify Gold highlight applied to top bar only</w:t>
      </w:r>
    </w:p>
    <w:p>
      <w:pPr>
        <w:pStyle w:val="ListBullet"/>
        <w:spacing w:before="20" w:after="40"/>
        <w:ind w:left="648"/>
      </w:pPr>
      <w:r>
        <w:rPr>
          <w:sz w:val="20"/>
        </w:rPr>
        <w:t>FT-08c: Verify all 9 campaigns appear in the sorted list</w:t>
      </w:r>
    </w:p>
    <w:p>
      <w:pPr>
        <w:pStyle w:val="ListBullet"/>
        <w:spacing w:before="20" w:after="40"/>
        <w:ind w:left="648"/>
      </w:pPr>
      <w:r>
        <w:rPr>
          <w:sz w:val="20"/>
        </w:rPr>
        <w:t>FT-08d: Apply Channel = Email filter → verify bars update to email-only revenue</w:t>
      </w:r>
    </w:p>
    <w:p>
      <w:pPr>
        <w:pStyle w:val="ListBullet"/>
        <w:spacing w:before="20" w:after="40"/>
        <w:ind w:left="648"/>
      </w:pPr>
      <w:r>
        <w:rPr>
          <w:sz w:val="20"/>
        </w:rPr>
        <w:t>FT-08e: Click any campaign bar → verify related charts filter to that campaign</w:t>
      </w:r>
    </w:p>
    <w:p>
      <w:pPr>
        <w:pStyle w:val="ListBullet"/>
        <w:spacing w:before="20" w:after="40"/>
        <w:ind w:left="360"/>
      </w:pPr>
      <w:r>
        <w:rPr>
          <w:b/>
          <w:color w:val="4B6A88"/>
          <w:sz w:val="20"/>
        </w:rPr>
        <w:t xml:space="preserve">Non-Functional Links: </w:t>
      </w:r>
      <w:r>
        <w:rPr>
          <w:sz w:val="20"/>
        </w:rPr>
        <w:t>NFR-002 (filter speed), NFR-009 (accuracy), NFR-006 (usability)</w:t>
      </w:r>
    </w:p>
    <w:p/>
    <w:p>
      <w:pPr>
        <w:spacing w:before="140" w:after="40"/>
      </w:pPr>
      <w:r>
        <w:rPr>
          <w:b/>
          <w:color w:val="3E8A8B"/>
          <w:sz w:val="22"/>
        </w:rPr>
        <w:t>Stories for Tab 3 — Donor Intelligence</w:t>
      </w:r>
    </w:p>
    <w:p>
      <w:pPr>
        <w:spacing w:before="140" w:after="40"/>
      </w:pPr>
      <w:r>
        <w:rPr>
          <w:b/>
          <w:color w:val="1F2A44"/>
          <w:sz w:val="22"/>
        </w:rPr>
        <w:t>US-09 — Julie Chen, Director of Development</w:t>
      </w:r>
    </w:p>
    <w:p>
      <w:pPr>
        <w:spacing w:before="40" w:after="80"/>
        <w:ind w:left="432"/>
        <w:pBdr>
          <w:left w:val="single" w:sz="24" w:space="6" w:color="C49A3A"/>
        </w:pBdr>
      </w:pPr>
      <w:r>
        <w:rPr>
          <w:i/>
          <w:color w:val="1F2A44"/>
          <w:sz w:val="20"/>
        </w:rPr>
        <w:t>As a Julie Chen, Director of Development, I need to  see my donor base segmented by General, Major, and Recurring, so that I know where revenue is concentrated and where I should focus retention efforts.</w:t>
      </w:r>
    </w:p>
    <w:p>
      <w:pPr>
        <w:pStyle w:val="ListBullet"/>
        <w:spacing w:before="20" w:after="40"/>
        <w:ind w:left="360"/>
      </w:pPr>
      <w:r>
        <w:rPr>
          <w:b/>
          <w:color w:val="4B6A88"/>
          <w:sz w:val="20"/>
        </w:rPr>
        <w:t xml:space="preserve">Wireframe Component: </w:t>
      </w:r>
      <w:r>
        <w:rPr>
          <w:sz w:val="20"/>
        </w:rPr>
        <w:t>Tab 3 — Donor Segmentation stacked bar + three donut charts</w:t>
      </w:r>
    </w:p>
    <w:p>
      <w:pPr>
        <w:spacing w:before="80" w:after="40"/>
      </w:pPr>
      <w:r>
        <w:rPr>
          <w:b/>
          <w:color w:val="2E7D63"/>
          <w:sz w:val="20"/>
        </w:rPr>
        <w:t>Acceptance Criteria:</w:t>
      </w:r>
    </w:p>
    <w:p>
      <w:pPr>
        <w:pStyle w:val="ListBullet"/>
        <w:spacing w:before="20" w:after="40"/>
        <w:ind w:left="648"/>
      </w:pPr>
      <w:r>
        <w:rPr>
          <w:sz w:val="20"/>
        </w:rPr>
        <w:t>Stacked bar shows all three segments with distinct colors (Navy, Gold, Green)</w:t>
      </w:r>
    </w:p>
    <w:p>
      <w:pPr>
        <w:pStyle w:val="ListBullet"/>
        <w:spacing w:before="20" w:after="40"/>
        <w:ind w:left="648"/>
      </w:pPr>
      <w:r>
        <w:rPr>
          <w:sz w:val="20"/>
        </w:rPr>
        <w:t>Each segment label shows % of total revenue contribution</w:t>
      </w:r>
    </w:p>
    <w:p>
      <w:pPr>
        <w:pStyle w:val="ListBullet"/>
        <w:spacing w:before="20" w:after="40"/>
        <w:ind w:left="648"/>
      </w:pPr>
      <w:r>
        <w:rPr>
          <w:sz w:val="20"/>
        </w:rPr>
        <w:t>Three donut charts below show the same data with segment labels</w:t>
      </w:r>
    </w:p>
    <w:p>
      <w:pPr>
        <w:pStyle w:val="ListBullet"/>
        <w:spacing w:before="20" w:after="40"/>
        <w:ind w:left="648"/>
      </w:pPr>
      <w:r>
        <w:rPr>
          <w:sz w:val="20"/>
        </w:rPr>
        <w:t>Major donors (5% of base) clearly shown contributing 52% of revenue</w:t>
      </w:r>
    </w:p>
    <w:p>
      <w:pPr>
        <w:pStyle w:val="ListBullet"/>
        <w:spacing w:before="20" w:after="40"/>
        <w:ind w:left="648"/>
      </w:pPr>
      <w:r>
        <w:rPr>
          <w:sz w:val="20"/>
        </w:rPr>
        <w:t>Clicking a segment on the stacked bar filters the rest of Tab 3</w:t>
      </w:r>
    </w:p>
    <w:p>
      <w:pPr>
        <w:pStyle w:val="ListBullet"/>
        <w:spacing w:before="20" w:after="40"/>
        <w:ind w:left="648"/>
      </w:pPr>
      <w:r>
        <w:rPr>
          <w:sz w:val="20"/>
        </w:rPr>
        <w:t>No individual donor names or gift amounts are visible anywhere on this view</w:t>
      </w:r>
    </w:p>
    <w:p>
      <w:pPr>
        <w:spacing w:before="80" w:after="40"/>
      </w:pPr>
      <w:r>
        <w:rPr>
          <w:b/>
          <w:color w:val="4B6A88"/>
          <w:sz w:val="20"/>
        </w:rPr>
        <w:t>Functional Test Cases:</w:t>
      </w:r>
    </w:p>
    <w:p>
      <w:pPr>
        <w:pStyle w:val="ListBullet"/>
        <w:spacing w:before="20" w:after="40"/>
        <w:ind w:left="648"/>
      </w:pPr>
      <w:r>
        <w:rPr>
          <w:sz w:val="20"/>
        </w:rPr>
        <w:t>FT-09a: Verify 3 segments appear in stacked bar and 3 donuts</w:t>
      </w:r>
    </w:p>
    <w:p>
      <w:pPr>
        <w:pStyle w:val="ListBullet"/>
        <w:spacing w:before="20" w:after="40"/>
        <w:ind w:left="648"/>
      </w:pPr>
      <w:r>
        <w:rPr>
          <w:sz w:val="20"/>
        </w:rPr>
        <w:t>FT-09b: Verify Major segment donut shows ~52% (Gold)</w:t>
      </w:r>
    </w:p>
    <w:p>
      <w:pPr>
        <w:pStyle w:val="ListBullet"/>
        <w:spacing w:before="20" w:after="40"/>
        <w:ind w:left="648"/>
      </w:pPr>
      <w:r>
        <w:rPr>
          <w:sz w:val="20"/>
        </w:rPr>
        <w:t>FT-09c: Verify General segment donut shows ~38% (Navy)</w:t>
      </w:r>
    </w:p>
    <w:p>
      <w:pPr>
        <w:pStyle w:val="ListBullet"/>
        <w:spacing w:before="20" w:after="40"/>
        <w:ind w:left="648"/>
      </w:pPr>
      <w:r>
        <w:rPr>
          <w:sz w:val="20"/>
        </w:rPr>
        <w:t>FT-09d: Verify Recurring segment donut shows ~28% (Green) — Note: overlaps expected due to demo data</w:t>
      </w:r>
    </w:p>
    <w:p>
      <w:pPr>
        <w:pStyle w:val="ListBullet"/>
        <w:spacing w:before="20" w:after="40"/>
        <w:ind w:left="648"/>
      </w:pPr>
      <w:r>
        <w:rPr>
          <w:sz w:val="20"/>
        </w:rPr>
        <w:t>FT-09e: Verify no individual donor identifying information is visible</w:t>
      </w:r>
    </w:p>
    <w:p>
      <w:pPr>
        <w:pStyle w:val="ListBullet"/>
        <w:spacing w:before="20" w:after="40"/>
        <w:ind w:left="648"/>
      </w:pPr>
      <w:r>
        <w:rPr>
          <w:sz w:val="20"/>
        </w:rPr>
        <w:t>FT-09f: Click Major segment → verify Lifetime Value histogram updates</w:t>
      </w:r>
    </w:p>
    <w:p>
      <w:pPr>
        <w:pStyle w:val="ListBullet"/>
        <w:spacing w:before="20" w:after="40"/>
        <w:ind w:left="360"/>
      </w:pPr>
      <w:r>
        <w:rPr>
          <w:b/>
          <w:color w:val="4B6A88"/>
          <w:sz w:val="20"/>
        </w:rPr>
        <w:t xml:space="preserve">Non-Functional Links: </w:t>
      </w:r>
      <w:r>
        <w:rPr>
          <w:sz w:val="20"/>
        </w:rPr>
        <w:t>NFR-011 (no PII), NFR-005 (color-blind safe), NFR-009 (accuracy)</w:t>
      </w:r>
    </w:p>
    <w:p/>
    <w:p>
      <w:pPr>
        <w:spacing w:before="140" w:after="40"/>
      </w:pPr>
      <w:r>
        <w:rPr>
          <w:b/>
          <w:color w:val="1F2A44"/>
          <w:sz w:val="22"/>
        </w:rPr>
        <w:t>US-10 — Julie Chen, Director of Development</w:t>
      </w:r>
    </w:p>
    <w:p>
      <w:pPr>
        <w:spacing w:before="40" w:after="80"/>
        <w:ind w:left="432"/>
        <w:pBdr>
          <w:left w:val="single" w:sz="24" w:space="6" w:color="C49A3A"/>
        </w:pBdr>
      </w:pPr>
      <w:r>
        <w:rPr>
          <w:i/>
          <w:color w:val="1F2A44"/>
          <w:sz w:val="20"/>
        </w:rPr>
        <w:t>As a Julie Chen, Director of Development, I need to  see the geographic distribution of donations by state, so that I can understand where our donor base is concentrated and target regional campaigns.</w:t>
      </w:r>
    </w:p>
    <w:p>
      <w:pPr>
        <w:pStyle w:val="ListBullet"/>
        <w:spacing w:before="20" w:after="40"/>
        <w:ind w:left="360"/>
      </w:pPr>
      <w:r>
        <w:rPr>
          <w:b/>
          <w:color w:val="4B6A88"/>
          <w:sz w:val="20"/>
        </w:rPr>
        <w:t xml:space="preserve">Wireframe Component: </w:t>
      </w:r>
      <w:r>
        <w:rPr>
          <w:sz w:val="20"/>
        </w:rPr>
        <w:t>Tab 3 — Geographic Donation Map (state-level filled dot map)</w:t>
      </w:r>
    </w:p>
    <w:p>
      <w:pPr>
        <w:spacing w:before="80" w:after="40"/>
      </w:pPr>
      <w:r>
        <w:rPr>
          <w:b/>
          <w:color w:val="2E7D63"/>
          <w:sz w:val="20"/>
        </w:rPr>
        <w:t>Acceptance Criteria:</w:t>
      </w:r>
    </w:p>
    <w:p>
      <w:pPr>
        <w:pStyle w:val="ListBullet"/>
        <w:spacing w:before="20" w:after="40"/>
        <w:ind w:left="648"/>
      </w:pPr>
      <w:r>
        <w:rPr>
          <w:sz w:val="20"/>
        </w:rPr>
        <w:t>Map shows all US states with data points present in the dataset (10 states in demo)</w:t>
      </w:r>
    </w:p>
    <w:p>
      <w:pPr>
        <w:pStyle w:val="ListBullet"/>
        <w:spacing w:before="20" w:after="40"/>
        <w:ind w:left="648"/>
      </w:pPr>
      <w:r>
        <w:rPr>
          <w:sz w:val="20"/>
        </w:rPr>
        <w:t>Dot size or color intensity represents relative donation volume</w:t>
      </w:r>
    </w:p>
    <w:p>
      <w:pPr>
        <w:pStyle w:val="ListBullet"/>
        <w:spacing w:before="20" w:after="40"/>
        <w:ind w:left="648"/>
      </w:pPr>
      <w:r>
        <w:rPr>
          <w:sz w:val="20"/>
        </w:rPr>
        <w:t>Hovering on a state shows: state name, total donations, donor count</w:t>
      </w:r>
    </w:p>
    <w:p>
      <w:pPr>
        <w:pStyle w:val="ListBullet"/>
        <w:spacing w:before="20" w:after="40"/>
        <w:ind w:left="648"/>
      </w:pPr>
      <w:r>
        <w:rPr>
          <w:sz w:val="20"/>
        </w:rPr>
        <w:t>Map only shows state-level geography — no city, ZIP, or street data</w:t>
      </w:r>
    </w:p>
    <w:p>
      <w:pPr>
        <w:pStyle w:val="ListBullet"/>
        <w:spacing w:before="20" w:after="40"/>
        <w:ind w:left="648"/>
      </w:pPr>
      <w:r>
        <w:rPr>
          <w:sz w:val="20"/>
        </w:rPr>
        <w:t>Map responds to Date Range, Campaign, and Donor Segment filters</w:t>
      </w:r>
    </w:p>
    <w:p>
      <w:pPr>
        <w:pStyle w:val="ListBullet"/>
        <w:spacing w:before="20" w:after="40"/>
        <w:ind w:left="648"/>
      </w:pPr>
      <w:r>
        <w:rPr>
          <w:sz w:val="20"/>
        </w:rPr>
        <w:t>A legend explains the size/color encoding</w:t>
      </w:r>
    </w:p>
    <w:p>
      <w:pPr>
        <w:spacing w:before="80" w:after="40"/>
      </w:pPr>
      <w:r>
        <w:rPr>
          <w:b/>
          <w:color w:val="4B6A88"/>
          <w:sz w:val="20"/>
        </w:rPr>
        <w:t>Functional Test Cases:</w:t>
      </w:r>
    </w:p>
    <w:p>
      <w:pPr>
        <w:pStyle w:val="ListBullet"/>
        <w:spacing w:before="20" w:after="40"/>
        <w:ind w:left="648"/>
      </w:pPr>
      <w:r>
        <w:rPr>
          <w:sz w:val="20"/>
        </w:rPr>
        <w:t>FT-10a: Verify all 10 demo states appear with data points (CA, IL, NY, TX, WA, FL, MA, CO, GA, NC)</w:t>
      </w:r>
    </w:p>
    <w:p>
      <w:pPr>
        <w:pStyle w:val="ListBullet"/>
        <w:spacing w:before="20" w:after="40"/>
        <w:ind w:left="648"/>
      </w:pPr>
      <w:r>
        <w:rPr>
          <w:sz w:val="20"/>
        </w:rPr>
        <w:t>FT-10b: Verify CA shows the largest dot/darkest color (highest revenue state)</w:t>
      </w:r>
    </w:p>
    <w:p>
      <w:pPr>
        <w:pStyle w:val="ListBullet"/>
        <w:spacing w:before="20" w:after="40"/>
        <w:ind w:left="648"/>
      </w:pPr>
      <w:r>
        <w:rPr>
          <w:sz w:val="20"/>
        </w:rPr>
        <w:t>FT-10c: Verify tooltip shows state, revenue, donor count on hover</w:t>
      </w:r>
    </w:p>
    <w:p>
      <w:pPr>
        <w:pStyle w:val="ListBullet"/>
        <w:spacing w:before="20" w:after="40"/>
        <w:ind w:left="648"/>
      </w:pPr>
      <w:r>
        <w:rPr>
          <w:sz w:val="20"/>
        </w:rPr>
        <w:t>FT-10d: Apply Donor Segment = Major → verify map updates to major donor geography only</w:t>
      </w:r>
    </w:p>
    <w:p>
      <w:pPr>
        <w:pStyle w:val="ListBullet"/>
        <w:spacing w:before="20" w:after="40"/>
        <w:ind w:left="648"/>
      </w:pPr>
      <w:r>
        <w:rPr>
          <w:sz w:val="20"/>
        </w:rPr>
        <w:t>FT-10e: Verify no street address, ZIP code, or city-level data is visible</w:t>
      </w:r>
    </w:p>
    <w:p>
      <w:pPr>
        <w:pStyle w:val="ListBullet"/>
        <w:spacing w:before="20" w:after="40"/>
        <w:ind w:left="360"/>
      </w:pPr>
      <w:r>
        <w:rPr>
          <w:b/>
          <w:color w:val="4B6A88"/>
          <w:sz w:val="20"/>
        </w:rPr>
        <w:t xml:space="preserve">Non-Functional Links: </w:t>
      </w:r>
      <w:r>
        <w:rPr>
          <w:sz w:val="20"/>
        </w:rPr>
        <w:t>NFR-011 (no PII), NFR-007 (tooltips), NFR-008 (mobile)</w:t>
      </w:r>
    </w:p>
    <w:p/>
    <w:p>
      <w:pPr>
        <w:spacing w:before="140" w:after="40"/>
      </w:pPr>
      <w:r>
        <w:rPr>
          <w:b/>
          <w:color w:val="1F2A44"/>
          <w:sz w:val="22"/>
        </w:rPr>
        <w:t>US-11 — Julie Chen, Director of Development</w:t>
      </w:r>
    </w:p>
    <w:p>
      <w:pPr>
        <w:spacing w:before="40" w:after="80"/>
        <w:ind w:left="432"/>
        <w:pBdr>
          <w:left w:val="single" w:sz="24" w:space="6" w:color="C49A3A"/>
        </w:pBdr>
      </w:pPr>
      <w:r>
        <w:rPr>
          <w:i/>
          <w:color w:val="1F2A44"/>
          <w:sz w:val="20"/>
        </w:rPr>
        <w:t>As a Julie Chen, Director of Development, I need to  see outlier donations flagged visually, so that I can quickly spot data quality issues or unusually large gifts that need follow-up.</w:t>
      </w:r>
    </w:p>
    <w:p>
      <w:pPr>
        <w:pStyle w:val="ListBullet"/>
        <w:spacing w:before="20" w:after="40"/>
        <w:ind w:left="360"/>
      </w:pPr>
      <w:r>
        <w:rPr>
          <w:b/>
          <w:color w:val="4B6A88"/>
          <w:sz w:val="20"/>
        </w:rPr>
        <w:t xml:space="preserve">Wireframe Component: </w:t>
      </w:r>
      <w:r>
        <w:rPr>
          <w:sz w:val="20"/>
        </w:rPr>
        <w:t>Tab 3 — Repeat vs New Donor trend with Signal Coral outlier on September</w:t>
      </w:r>
    </w:p>
    <w:p>
      <w:pPr>
        <w:spacing w:before="80" w:after="40"/>
      </w:pPr>
      <w:r>
        <w:rPr>
          <w:b/>
          <w:color w:val="2E7D63"/>
          <w:sz w:val="20"/>
        </w:rPr>
        <w:t>Acceptance Criteria:</w:t>
      </w:r>
    </w:p>
    <w:p>
      <w:pPr>
        <w:pStyle w:val="ListBullet"/>
        <w:spacing w:before="20" w:after="40"/>
        <w:ind w:left="648"/>
      </w:pPr>
      <w:r>
        <w:rPr>
          <w:sz w:val="20"/>
        </w:rPr>
        <w:t>Outliers (defined as &gt; 2x window average) are displayed in Signal Coral (#E86A5A)</w:t>
      </w:r>
    </w:p>
    <w:p>
      <w:pPr>
        <w:pStyle w:val="ListBullet"/>
        <w:spacing w:before="20" w:after="40"/>
        <w:ind w:left="648"/>
      </w:pPr>
      <w:r>
        <w:rPr>
          <w:sz w:val="20"/>
        </w:rPr>
        <w:t>Coral is NOT used for any non-outlier data — it is reserved exclusively for this purpose</w:t>
      </w:r>
    </w:p>
    <w:p>
      <w:pPr>
        <w:pStyle w:val="ListBullet"/>
        <w:spacing w:before="20" w:after="40"/>
        <w:ind w:left="648"/>
      </w:pPr>
      <w:r>
        <w:rPr>
          <w:sz w:val="20"/>
        </w:rPr>
        <w:t>The September spike outlier is annotated with a plain-language note</w:t>
      </w:r>
    </w:p>
    <w:p>
      <w:pPr>
        <w:pStyle w:val="ListBullet"/>
        <w:spacing w:before="20" w:after="40"/>
        <w:ind w:left="648"/>
      </w:pPr>
      <w:r>
        <w:rPr>
          <w:sz w:val="20"/>
        </w:rPr>
        <w:t>A tooltip on any Coral mark explains why it is flagged as an outlier</w:t>
      </w:r>
    </w:p>
    <w:p>
      <w:pPr>
        <w:pStyle w:val="ListBullet"/>
        <w:spacing w:before="20" w:after="40"/>
        <w:ind w:left="648"/>
      </w:pPr>
      <w:r>
        <w:rPr>
          <w:sz w:val="20"/>
        </w:rPr>
        <w:t>The outlier flag updates dynamically when filters change the data context</w:t>
      </w:r>
    </w:p>
    <w:p>
      <w:pPr>
        <w:pStyle w:val="ListBullet"/>
        <w:spacing w:before="20" w:after="40"/>
        <w:ind w:left="648"/>
      </w:pPr>
      <w:r>
        <w:rPr>
          <w:sz w:val="20"/>
        </w:rPr>
        <w:t>Insight bar at bottom of tab warns users to investigate before reporting</w:t>
      </w:r>
    </w:p>
    <w:p>
      <w:pPr>
        <w:spacing w:before="80" w:after="40"/>
      </w:pPr>
      <w:r>
        <w:rPr>
          <w:b/>
          <w:color w:val="4B6A88"/>
          <w:sz w:val="20"/>
        </w:rPr>
        <w:t>Functional Test Cases:</w:t>
      </w:r>
    </w:p>
    <w:p>
      <w:pPr>
        <w:pStyle w:val="ListBullet"/>
        <w:spacing w:before="20" w:after="40"/>
        <w:ind w:left="648"/>
      </w:pPr>
      <w:r>
        <w:rPr>
          <w:sz w:val="20"/>
        </w:rPr>
        <w:t>FT-11a: Verify September data point is rendered in Signal Coral</w:t>
      </w:r>
    </w:p>
    <w:p>
      <w:pPr>
        <w:pStyle w:val="ListBullet"/>
        <w:spacing w:before="20" w:after="40"/>
        <w:ind w:left="648"/>
      </w:pPr>
      <w:r>
        <w:rPr>
          <w:sz w:val="20"/>
        </w:rPr>
        <w:t>FT-11b: Verify no other data points use Coral color</w:t>
      </w:r>
    </w:p>
    <w:p>
      <w:pPr>
        <w:pStyle w:val="ListBullet"/>
        <w:spacing w:before="20" w:after="40"/>
        <w:ind w:left="648"/>
      </w:pPr>
      <w:r>
        <w:rPr>
          <w:sz w:val="20"/>
        </w:rPr>
        <w:t>FT-11c: Verify annotation for September outlier is visible and readable</w:t>
      </w:r>
    </w:p>
    <w:p>
      <w:pPr>
        <w:pStyle w:val="ListBullet"/>
        <w:spacing w:before="20" w:after="40"/>
        <w:ind w:left="648"/>
      </w:pPr>
      <w:r>
        <w:rPr>
          <w:sz w:val="20"/>
        </w:rPr>
        <w:t>FT-11d: Apply Date Filter to exclude September → verify Coral disappears</w:t>
      </w:r>
    </w:p>
    <w:p>
      <w:pPr>
        <w:pStyle w:val="ListBullet"/>
        <w:spacing w:before="20" w:after="40"/>
        <w:ind w:left="648"/>
      </w:pPr>
      <w:r>
        <w:rPr>
          <w:sz w:val="20"/>
        </w:rPr>
        <w:t>FT-11e: Verify Coral tooltip explains the outlier flag criteria (&gt;2x window avg)</w:t>
      </w:r>
    </w:p>
    <w:p>
      <w:pPr>
        <w:pStyle w:val="ListBullet"/>
        <w:spacing w:before="20" w:after="40"/>
        <w:ind w:left="360"/>
      </w:pPr>
      <w:r>
        <w:rPr>
          <w:b/>
          <w:color w:val="4B6A88"/>
          <w:sz w:val="20"/>
        </w:rPr>
        <w:t xml:space="preserve">Non-Functional Links: </w:t>
      </w:r>
      <w:r>
        <w:rPr>
          <w:sz w:val="20"/>
        </w:rPr>
        <w:t>NFR-005 (color-blind), NFR-009 (accuracy), NFR-011 (no PII)</w:t>
      </w:r>
    </w:p>
    <w:p/>
    <w:p>
      <w:pPr>
        <w:spacing w:before="140" w:after="40"/>
      </w:pPr>
      <w:r>
        <w:rPr>
          <w:b/>
          <w:color w:val="1F2A44"/>
          <w:sz w:val="22"/>
        </w:rPr>
        <w:t>US-12 — Chloe Rivera, Director of Marketing</w:t>
      </w:r>
    </w:p>
    <w:p>
      <w:pPr>
        <w:spacing w:before="40" w:after="80"/>
        <w:ind w:left="432"/>
        <w:pBdr>
          <w:left w:val="single" w:sz="24" w:space="6" w:color="C49A3A"/>
        </w:pBdr>
      </w:pPr>
      <w:r>
        <w:rPr>
          <w:i/>
          <w:color w:val="1F2A44"/>
          <w:sz w:val="20"/>
        </w:rPr>
        <w:t>As a Chloe Rivera, Director of Marketing, I need to  see lifetime giving distribution across the donor base, so that I can identify the size of our mid-level donor pipeline and target upgrade campaigns.</w:t>
      </w:r>
    </w:p>
    <w:p>
      <w:pPr>
        <w:pStyle w:val="ListBullet"/>
        <w:spacing w:before="20" w:after="40"/>
        <w:ind w:left="360"/>
      </w:pPr>
      <w:r>
        <w:rPr>
          <w:b/>
          <w:color w:val="4B6A88"/>
          <w:sz w:val="20"/>
        </w:rPr>
        <w:t xml:space="preserve">Wireframe Component: </w:t>
      </w:r>
      <w:r>
        <w:rPr>
          <w:sz w:val="20"/>
        </w:rPr>
        <w:t>Tab 3 — Lifetime Giving Distribution histogram</w:t>
      </w:r>
    </w:p>
    <w:p>
      <w:pPr>
        <w:spacing w:before="80" w:after="40"/>
      </w:pPr>
      <w:r>
        <w:rPr>
          <w:b/>
          <w:color w:val="2E7D63"/>
          <w:sz w:val="20"/>
        </w:rPr>
        <w:t>Acceptance Criteria:</w:t>
      </w:r>
    </w:p>
    <w:p>
      <w:pPr>
        <w:pStyle w:val="ListBullet"/>
        <w:spacing w:before="20" w:after="40"/>
        <w:ind w:left="648"/>
      </w:pPr>
      <w:r>
        <w:rPr>
          <w:sz w:val="20"/>
        </w:rPr>
        <w:t>Histogram shows 6 bins: $0–1k, $1–3k, $3–6k, $6–10k, $10–20k, $20k+</w:t>
      </w:r>
    </w:p>
    <w:p>
      <w:pPr>
        <w:pStyle w:val="ListBullet"/>
        <w:spacing w:before="20" w:after="40"/>
        <w:ind w:left="648"/>
      </w:pPr>
      <w:r>
        <w:rPr>
          <w:sz w:val="20"/>
        </w:rPr>
        <w:t>Each bin bar shows percentage of total donors in that range</w:t>
      </w:r>
    </w:p>
    <w:p>
      <w:pPr>
        <w:pStyle w:val="ListBullet"/>
        <w:spacing w:before="20" w:after="40"/>
        <w:ind w:left="648"/>
      </w:pPr>
      <w:r>
        <w:rPr>
          <w:sz w:val="20"/>
        </w:rPr>
        <w:t>Bins are ordered from lowest to highest giving level (left to right)</w:t>
      </w:r>
    </w:p>
    <w:p>
      <w:pPr>
        <w:pStyle w:val="ListBullet"/>
        <w:spacing w:before="20" w:after="40"/>
        <w:ind w:left="648"/>
      </w:pPr>
      <w:r>
        <w:rPr>
          <w:sz w:val="20"/>
        </w:rPr>
        <w:t>High-value bins ($10k+) are visually emphasized in Mission Gold</w:t>
      </w:r>
    </w:p>
    <w:p>
      <w:pPr>
        <w:pStyle w:val="ListBullet"/>
        <w:spacing w:before="20" w:after="40"/>
        <w:ind w:left="648"/>
      </w:pPr>
      <w:r>
        <w:rPr>
          <w:sz w:val="20"/>
        </w:rPr>
        <w:t>Tooltip shows: bin range, donor count, percentage of total donors</w:t>
      </w:r>
    </w:p>
    <w:p>
      <w:pPr>
        <w:pStyle w:val="ListBullet"/>
        <w:spacing w:before="20" w:after="40"/>
        <w:ind w:left="648"/>
      </w:pPr>
      <w:r>
        <w:rPr>
          <w:sz w:val="20"/>
        </w:rPr>
        <w:t>Chart title references 'Lifetime Giving' — not 'single gift'</w:t>
      </w:r>
    </w:p>
    <w:p>
      <w:pPr>
        <w:spacing w:before="80" w:after="40"/>
      </w:pPr>
      <w:r>
        <w:rPr>
          <w:b/>
          <w:color w:val="4B6A88"/>
          <w:sz w:val="20"/>
        </w:rPr>
        <w:t>Functional Test Cases:</w:t>
      </w:r>
    </w:p>
    <w:p>
      <w:pPr>
        <w:pStyle w:val="ListBullet"/>
        <w:spacing w:before="20" w:after="40"/>
        <w:ind w:left="648"/>
      </w:pPr>
      <w:r>
        <w:rPr>
          <w:sz w:val="20"/>
        </w:rPr>
        <w:t>FT-12a: Verify 6 bins render with correct labels</w:t>
      </w:r>
    </w:p>
    <w:p>
      <w:pPr>
        <w:pStyle w:val="ListBullet"/>
        <w:spacing w:before="20" w:after="40"/>
        <w:ind w:left="648"/>
      </w:pPr>
      <w:r>
        <w:rPr>
          <w:sz w:val="20"/>
        </w:rPr>
        <w:t>FT-12b: Verify $0–1k is the tallest bar (~42% of donors)</w:t>
      </w:r>
    </w:p>
    <w:p>
      <w:pPr>
        <w:pStyle w:val="ListBullet"/>
        <w:spacing w:before="20" w:after="40"/>
        <w:ind w:left="648"/>
      </w:pPr>
      <w:r>
        <w:rPr>
          <w:sz w:val="20"/>
        </w:rPr>
        <w:t>FT-12c: Verify $10–20k and $20k+ bins are colored Gold</w:t>
      </w:r>
    </w:p>
    <w:p>
      <w:pPr>
        <w:pStyle w:val="ListBullet"/>
        <w:spacing w:before="20" w:after="40"/>
        <w:ind w:left="648"/>
      </w:pPr>
      <w:r>
        <w:rPr>
          <w:sz w:val="20"/>
        </w:rPr>
        <w:t>FT-12d: Apply Donor Segment = Major → verify histogram shifts to higher bins</w:t>
      </w:r>
    </w:p>
    <w:p>
      <w:pPr>
        <w:pStyle w:val="ListBullet"/>
        <w:spacing w:before="20" w:after="40"/>
        <w:ind w:left="648"/>
      </w:pPr>
      <w:r>
        <w:rPr>
          <w:sz w:val="20"/>
        </w:rPr>
        <w:t>FT-12e: Verify tooltip shows count + % for each bin on hover</w:t>
      </w:r>
    </w:p>
    <w:p>
      <w:pPr>
        <w:pStyle w:val="ListBullet"/>
        <w:spacing w:before="20" w:after="40"/>
        <w:ind w:left="360"/>
      </w:pPr>
      <w:r>
        <w:rPr>
          <w:b/>
          <w:color w:val="4B6A88"/>
          <w:sz w:val="20"/>
        </w:rPr>
        <w:t xml:space="preserve">Non-Functional Links: </w:t>
      </w:r>
      <w:r>
        <w:rPr>
          <w:sz w:val="20"/>
        </w:rPr>
        <w:t>NFR-006 (usability), NFR-007 (tooltips), NFR-009 (accuracy)</w:t>
      </w:r>
    </w:p>
    <w:p/>
    <w:p>
      <w:r>
        <w:br w:type="page"/>
      </w:r>
    </w:p>
    <w:p>
      <w:pPr>
        <w:spacing w:before="280" w:after="80"/>
        <w:pBdr>
          <w:bottom w:val="single" w:sz="6" w:space="1" w:color="1F2A44"/>
        </w:pBdr>
      </w:pPr>
      <w:r>
        <w:rPr>
          <w:b/>
          <w:color w:val="1F2A44"/>
          <w:sz w:val="30"/>
        </w:rPr>
        <w:t>5. Traceability Matrix — Stories to Wireframe Components</w:t>
      </w:r>
    </w:p>
    <w:p>
      <w:pPr>
        <w:spacing w:after="100"/>
      </w:pPr>
      <w:r>
        <w:rPr>
          <w:i w:val="0"/>
          <w:sz w:val="20"/>
        </w:rPr>
        <w:t>This matrix provides a quick-reference view of every story, its wireframe component, its test IDs, and the stakeholder who validated it.</w:t>
      </w:r>
    </w:p>
    <w:tbl>
      <w:tblGrid>
        <w:gridCol w:w="700"/>
        <w:gridCol w:w="700"/>
        <w:gridCol w:w="2600"/>
        <w:gridCol w:w="1200"/>
        <w:gridCol w:w="1500"/>
        <w:gridCol w:w="900"/>
      </w:tblGrid>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2A44"/>
          </w:tcPr>
          <w:p>
            <w:r>
              <w:rPr>
                <w:b/>
                <w:color w:val="FFFFFF"/>
                <w:sz w:val="18"/>
              </w:rPr>
              <w:t>Story ID</w:t>
            </w:r>
          </w:p>
        </w:tc>
        <w:tc>
          <w:tcPr>
            <w:tcW w:type="dxa" w:w="1512"/>
            <w:shd w:val="clear" w:color="auto" w:fill="1F2A44"/>
          </w:tcPr>
          <w:p>
            <w:r>
              <w:rPr>
                <w:b/>
                <w:color w:val="FFFFFF"/>
                <w:sz w:val="18"/>
              </w:rPr>
              <w:t>Tab</w:t>
            </w:r>
          </w:p>
        </w:tc>
        <w:tc>
          <w:tcPr>
            <w:tcW w:type="dxa" w:w="1512"/>
            <w:shd w:val="clear" w:color="auto" w:fill="1F2A44"/>
          </w:tcPr>
          <w:p>
            <w:r>
              <w:rPr>
                <w:b/>
                <w:color w:val="FFFFFF"/>
                <w:sz w:val="18"/>
              </w:rPr>
              <w:t>Wireframe Component</w:t>
            </w:r>
          </w:p>
        </w:tc>
        <w:tc>
          <w:tcPr>
            <w:tcW w:type="dxa" w:w="1512"/>
            <w:shd w:val="clear" w:color="auto" w:fill="1F2A44"/>
          </w:tcPr>
          <w:p>
            <w:r>
              <w:rPr>
                <w:b/>
                <w:color w:val="FFFFFF"/>
                <w:sz w:val="18"/>
              </w:rPr>
              <w:t>Test Cases</w:t>
            </w:r>
          </w:p>
        </w:tc>
        <w:tc>
          <w:tcPr>
            <w:tcW w:type="dxa" w:w="1512"/>
            <w:shd w:val="clear" w:color="auto" w:fill="1F2A44"/>
          </w:tcPr>
          <w:p>
            <w:r>
              <w:rPr>
                <w:b/>
                <w:color w:val="FFFFFF"/>
                <w:sz w:val="18"/>
              </w:rPr>
              <w:t>Validated By</w:t>
            </w:r>
          </w:p>
        </w:tc>
        <w:tc>
          <w:tcPr>
            <w:tcW w:type="dxa" w:w="1512"/>
            <w:shd w:val="clear" w:color="auto" w:fill="1F2A44"/>
          </w:tcPr>
          <w:p>
            <w:r>
              <w:rPr>
                <w:b/>
                <w:color w:val="FFFFFF"/>
                <w:sz w:val="18"/>
              </w:rPr>
              <w:t>Status</w:t>
            </w:r>
          </w:p>
        </w:tc>
      </w:tr>
      <w:tr>
        <w:tc>
          <w:tcPr>
            <w:tcW w:type="dxa" w:w="1512"/>
            <w:shd w:val="clear" w:color="auto" w:fill="F4F6F8"/>
          </w:tcPr>
          <w:p>
            <w:r>
              <w:rPr>
                <w:sz w:val="18"/>
              </w:rPr>
              <w:t>US-01</w:t>
            </w:r>
          </w:p>
        </w:tc>
        <w:tc>
          <w:tcPr>
            <w:tcW w:type="dxa" w:w="1512"/>
            <w:shd w:val="clear" w:color="auto" w:fill="F4F6F8"/>
          </w:tcPr>
          <w:p>
            <w:r>
              <w:rPr>
                <w:sz w:val="18"/>
              </w:rPr>
              <w:t>Tab 1</w:t>
            </w:r>
          </w:p>
        </w:tc>
        <w:tc>
          <w:tcPr>
            <w:tcW w:type="dxa" w:w="1512"/>
            <w:shd w:val="clear" w:color="auto" w:fill="F4F6F8"/>
          </w:tcPr>
          <w:p>
            <w:r>
              <w:rPr>
                <w:sz w:val="18"/>
              </w:rPr>
              <w:t>KPI: Total Donations</w:t>
            </w:r>
          </w:p>
        </w:tc>
        <w:tc>
          <w:tcPr>
            <w:tcW w:type="dxa" w:w="1512"/>
            <w:shd w:val="clear" w:color="auto" w:fill="F4F6F8"/>
          </w:tcPr>
          <w:p>
            <w:r>
              <w:rPr>
                <w:sz w:val="18"/>
              </w:rPr>
              <w:t>FT-01a–e</w:t>
            </w:r>
          </w:p>
        </w:tc>
        <w:tc>
          <w:tcPr>
            <w:tcW w:type="dxa" w:w="1512"/>
            <w:shd w:val="clear" w:color="auto" w:fill="F4F6F8"/>
          </w:tcPr>
          <w:p>
            <w:r>
              <w:rPr>
                <w:sz w:val="18"/>
              </w:rPr>
              <w:t>Julie</w:t>
            </w:r>
          </w:p>
        </w:tc>
        <w:tc>
          <w:tcPr>
            <w:tcW w:type="dxa" w:w="1512"/>
            <w:shd w:val="clear" w:color="auto" w:fill="F4F6F8"/>
          </w:tcPr>
          <w:p>
            <w:r>
              <w:rPr>
                <w:sz w:val="18"/>
              </w:rPr>
              <w:t>PASS</w:t>
            </w:r>
          </w:p>
        </w:tc>
      </w:tr>
      <w:tr>
        <w:tc>
          <w:tcPr>
            <w:tcW w:type="dxa" w:w="1512"/>
            <w:shd w:val="clear" w:color="auto" w:fill="FFFFFF"/>
          </w:tcPr>
          <w:p>
            <w:r>
              <w:rPr>
                <w:sz w:val="18"/>
              </w:rPr>
              <w:t>US-02</w:t>
            </w:r>
          </w:p>
        </w:tc>
        <w:tc>
          <w:tcPr>
            <w:tcW w:type="dxa" w:w="1512"/>
            <w:shd w:val="clear" w:color="auto" w:fill="FFFFFF"/>
          </w:tcPr>
          <w:p>
            <w:r>
              <w:rPr>
                <w:sz w:val="18"/>
              </w:rPr>
              <w:t>Tab 1</w:t>
            </w:r>
          </w:p>
        </w:tc>
        <w:tc>
          <w:tcPr>
            <w:tcW w:type="dxa" w:w="1512"/>
            <w:shd w:val="clear" w:color="auto" w:fill="FFFFFF"/>
          </w:tcPr>
          <w:p>
            <w:r>
              <w:rPr>
                <w:sz w:val="18"/>
              </w:rPr>
              <w:t>Donor Growth dual-axis chart</w:t>
            </w:r>
          </w:p>
        </w:tc>
        <w:tc>
          <w:tcPr>
            <w:tcW w:type="dxa" w:w="1512"/>
            <w:shd w:val="clear" w:color="auto" w:fill="FFFFFF"/>
          </w:tcPr>
          <w:p>
            <w:r>
              <w:rPr>
                <w:sz w:val="18"/>
              </w:rPr>
              <w:t>FT-02a–e</w:t>
            </w:r>
          </w:p>
        </w:tc>
        <w:tc>
          <w:tcPr>
            <w:tcW w:type="dxa" w:w="1512"/>
            <w:shd w:val="clear" w:color="auto" w:fill="FFFFFF"/>
          </w:tcPr>
          <w:p>
            <w:r>
              <w:rPr>
                <w:sz w:val="18"/>
              </w:rPr>
              <w:t>Julie</w:t>
            </w:r>
          </w:p>
        </w:tc>
        <w:tc>
          <w:tcPr>
            <w:tcW w:type="dxa" w:w="1512"/>
            <w:shd w:val="clear" w:color="auto" w:fill="FFFFFF"/>
          </w:tcPr>
          <w:p>
            <w:r>
              <w:rPr>
                <w:sz w:val="18"/>
              </w:rPr>
              <w:t>PASS</w:t>
            </w:r>
          </w:p>
        </w:tc>
      </w:tr>
      <w:tr>
        <w:tc>
          <w:tcPr>
            <w:tcW w:type="dxa" w:w="1512"/>
            <w:shd w:val="clear" w:color="auto" w:fill="F4F6F8"/>
          </w:tcPr>
          <w:p>
            <w:r>
              <w:rPr>
                <w:sz w:val="18"/>
              </w:rPr>
              <w:t>US-03</w:t>
            </w:r>
          </w:p>
        </w:tc>
        <w:tc>
          <w:tcPr>
            <w:tcW w:type="dxa" w:w="1512"/>
            <w:shd w:val="clear" w:color="auto" w:fill="F4F6F8"/>
          </w:tcPr>
          <w:p>
            <w:r>
              <w:rPr>
                <w:sz w:val="18"/>
              </w:rPr>
              <w:t>Tab 1</w:t>
            </w:r>
          </w:p>
        </w:tc>
        <w:tc>
          <w:tcPr>
            <w:tcW w:type="dxa" w:w="1512"/>
            <w:shd w:val="clear" w:color="auto" w:fill="F4F6F8"/>
          </w:tcPr>
          <w:p>
            <w:r>
              <w:rPr>
                <w:sz w:val="18"/>
              </w:rPr>
              <w:t>Revenue by Channel bar</w:t>
            </w:r>
          </w:p>
        </w:tc>
        <w:tc>
          <w:tcPr>
            <w:tcW w:type="dxa" w:w="1512"/>
            <w:shd w:val="clear" w:color="auto" w:fill="F4F6F8"/>
          </w:tcPr>
          <w:p>
            <w:r>
              <w:rPr>
                <w:sz w:val="18"/>
              </w:rPr>
              <w:t>FT-03a–e</w:t>
            </w:r>
          </w:p>
        </w:tc>
        <w:tc>
          <w:tcPr>
            <w:tcW w:type="dxa" w:w="1512"/>
            <w:shd w:val="clear" w:color="auto" w:fill="F4F6F8"/>
          </w:tcPr>
          <w:p>
            <w:r>
              <w:rPr>
                <w:sz w:val="18"/>
              </w:rPr>
              <w:t>Julie + Chloe</w:t>
            </w:r>
          </w:p>
        </w:tc>
        <w:tc>
          <w:tcPr>
            <w:tcW w:type="dxa" w:w="1512"/>
            <w:shd w:val="clear" w:color="auto" w:fill="F4F6F8"/>
          </w:tcPr>
          <w:p>
            <w:r>
              <w:rPr>
                <w:sz w:val="18"/>
              </w:rPr>
              <w:t>PASS</w:t>
            </w:r>
          </w:p>
        </w:tc>
      </w:tr>
      <w:tr>
        <w:tc>
          <w:tcPr>
            <w:tcW w:type="dxa" w:w="1512"/>
            <w:shd w:val="clear" w:color="auto" w:fill="FFFFFF"/>
          </w:tcPr>
          <w:p>
            <w:r>
              <w:rPr>
                <w:sz w:val="18"/>
              </w:rPr>
              <w:t>US-04</w:t>
            </w:r>
          </w:p>
        </w:tc>
        <w:tc>
          <w:tcPr>
            <w:tcW w:type="dxa" w:w="1512"/>
            <w:shd w:val="clear" w:color="auto" w:fill="FFFFFF"/>
          </w:tcPr>
          <w:p>
            <w:r>
              <w:rPr>
                <w:sz w:val="18"/>
              </w:rPr>
              <w:t>Tab 1</w:t>
            </w:r>
          </w:p>
        </w:tc>
        <w:tc>
          <w:tcPr>
            <w:tcW w:type="dxa" w:w="1512"/>
            <w:shd w:val="clear" w:color="auto" w:fill="FFFFFF"/>
          </w:tcPr>
          <w:p>
            <w:r>
              <w:rPr>
                <w:sz w:val="18"/>
              </w:rPr>
              <w:t>Campaign ROI Ranking bar</w:t>
            </w:r>
          </w:p>
        </w:tc>
        <w:tc>
          <w:tcPr>
            <w:tcW w:type="dxa" w:w="1512"/>
            <w:shd w:val="clear" w:color="auto" w:fill="FFFFFF"/>
          </w:tcPr>
          <w:p>
            <w:r>
              <w:rPr>
                <w:sz w:val="18"/>
              </w:rPr>
              <w:t>FT-04a–e</w:t>
            </w:r>
          </w:p>
        </w:tc>
        <w:tc>
          <w:tcPr>
            <w:tcW w:type="dxa" w:w="1512"/>
            <w:shd w:val="clear" w:color="auto" w:fill="FFFFFF"/>
          </w:tcPr>
          <w:p>
            <w:r>
              <w:rPr>
                <w:sz w:val="18"/>
              </w:rPr>
              <w:t>Chloe</w:t>
            </w:r>
          </w:p>
        </w:tc>
        <w:tc>
          <w:tcPr>
            <w:tcW w:type="dxa" w:w="1512"/>
            <w:shd w:val="clear" w:color="auto" w:fill="FFFFFF"/>
          </w:tcPr>
          <w:p>
            <w:r>
              <w:rPr>
                <w:sz w:val="18"/>
              </w:rPr>
              <w:t>PASS</w:t>
            </w:r>
          </w:p>
        </w:tc>
      </w:tr>
      <w:tr>
        <w:tc>
          <w:tcPr>
            <w:tcW w:type="dxa" w:w="1512"/>
            <w:shd w:val="clear" w:color="auto" w:fill="F4F6F8"/>
          </w:tcPr>
          <w:p>
            <w:r>
              <w:rPr>
                <w:sz w:val="18"/>
              </w:rPr>
              <w:t>US-05</w:t>
            </w:r>
          </w:p>
        </w:tc>
        <w:tc>
          <w:tcPr>
            <w:tcW w:type="dxa" w:w="1512"/>
            <w:shd w:val="clear" w:color="auto" w:fill="F4F6F8"/>
          </w:tcPr>
          <w:p>
            <w:r>
              <w:rPr>
                <w:sz w:val="18"/>
              </w:rPr>
              <w:t>Tab 1</w:t>
            </w:r>
          </w:p>
        </w:tc>
        <w:tc>
          <w:tcPr>
            <w:tcW w:type="dxa" w:w="1512"/>
            <w:shd w:val="clear" w:color="auto" w:fill="F4F6F8"/>
          </w:tcPr>
          <w:p>
            <w:r>
              <w:rPr>
                <w:sz w:val="18"/>
              </w:rPr>
              <w:t>Insight Annotation Bar</w:t>
            </w:r>
          </w:p>
        </w:tc>
        <w:tc>
          <w:tcPr>
            <w:tcW w:type="dxa" w:w="1512"/>
            <w:shd w:val="clear" w:color="auto" w:fill="F4F6F8"/>
          </w:tcPr>
          <w:p>
            <w:r>
              <w:rPr>
                <w:sz w:val="18"/>
              </w:rPr>
              <w:t>FT-05a–d</w:t>
            </w:r>
          </w:p>
        </w:tc>
        <w:tc>
          <w:tcPr>
            <w:tcW w:type="dxa" w:w="1512"/>
            <w:shd w:val="clear" w:color="auto" w:fill="F4F6F8"/>
          </w:tcPr>
          <w:p>
            <w:r>
              <w:rPr>
                <w:sz w:val="18"/>
              </w:rPr>
              <w:t>Chloe</w:t>
            </w:r>
          </w:p>
        </w:tc>
        <w:tc>
          <w:tcPr>
            <w:tcW w:type="dxa" w:w="1512"/>
            <w:shd w:val="clear" w:color="auto" w:fill="F4F6F8"/>
          </w:tcPr>
          <w:p>
            <w:r>
              <w:rPr>
                <w:sz w:val="18"/>
              </w:rPr>
              <w:t>PASS</w:t>
            </w:r>
          </w:p>
        </w:tc>
      </w:tr>
      <w:tr>
        <w:tc>
          <w:tcPr>
            <w:tcW w:type="dxa" w:w="1512"/>
            <w:shd w:val="clear" w:color="auto" w:fill="FFFFFF"/>
          </w:tcPr>
          <w:p>
            <w:r>
              <w:rPr>
                <w:sz w:val="18"/>
              </w:rPr>
              <w:t>US-06</w:t>
            </w:r>
          </w:p>
        </w:tc>
        <w:tc>
          <w:tcPr>
            <w:tcW w:type="dxa" w:w="1512"/>
            <w:shd w:val="clear" w:color="auto" w:fill="FFFFFF"/>
          </w:tcPr>
          <w:p>
            <w:r>
              <w:rPr>
                <w:sz w:val="18"/>
              </w:rPr>
              <w:t>Tab 2</w:t>
            </w:r>
          </w:p>
        </w:tc>
        <w:tc>
          <w:tcPr>
            <w:tcW w:type="dxa" w:w="1512"/>
            <w:shd w:val="clear" w:color="auto" w:fill="FFFFFF"/>
          </w:tcPr>
          <w:p>
            <w:r>
              <w:rPr>
                <w:sz w:val="18"/>
              </w:rPr>
              <w:t>Email Engagement Funnel</w:t>
            </w:r>
          </w:p>
        </w:tc>
        <w:tc>
          <w:tcPr>
            <w:tcW w:type="dxa" w:w="1512"/>
            <w:shd w:val="clear" w:color="auto" w:fill="FFFFFF"/>
          </w:tcPr>
          <w:p>
            <w:r>
              <w:rPr>
                <w:sz w:val="18"/>
              </w:rPr>
              <w:t>FT-06a–e</w:t>
            </w:r>
          </w:p>
        </w:tc>
        <w:tc>
          <w:tcPr>
            <w:tcW w:type="dxa" w:w="1512"/>
            <w:shd w:val="clear" w:color="auto" w:fill="FFFFFF"/>
          </w:tcPr>
          <w:p>
            <w:r>
              <w:rPr>
                <w:sz w:val="18"/>
              </w:rPr>
              <w:t>Chloe</w:t>
            </w:r>
          </w:p>
        </w:tc>
        <w:tc>
          <w:tcPr>
            <w:tcW w:type="dxa" w:w="1512"/>
            <w:shd w:val="clear" w:color="auto" w:fill="FFFFFF"/>
          </w:tcPr>
          <w:p>
            <w:r>
              <w:rPr>
                <w:sz w:val="18"/>
              </w:rPr>
              <w:t>PASS</w:t>
            </w:r>
          </w:p>
        </w:tc>
      </w:tr>
      <w:tr>
        <w:tc>
          <w:tcPr>
            <w:tcW w:type="dxa" w:w="1512"/>
            <w:shd w:val="clear" w:color="auto" w:fill="F4F6F8"/>
          </w:tcPr>
          <w:p>
            <w:r>
              <w:rPr>
                <w:sz w:val="18"/>
              </w:rPr>
              <w:t>US-07</w:t>
            </w:r>
          </w:p>
        </w:tc>
        <w:tc>
          <w:tcPr>
            <w:tcW w:type="dxa" w:w="1512"/>
            <w:shd w:val="clear" w:color="auto" w:fill="F4F6F8"/>
          </w:tcPr>
          <w:p>
            <w:r>
              <w:rPr>
                <w:sz w:val="18"/>
              </w:rPr>
              <w:t>Tab 2</w:t>
            </w:r>
          </w:p>
        </w:tc>
        <w:tc>
          <w:tcPr>
            <w:tcW w:type="dxa" w:w="1512"/>
            <w:shd w:val="clear" w:color="auto" w:fill="F4F6F8"/>
          </w:tcPr>
          <w:p>
            <w:r>
              <w:rPr>
                <w:sz w:val="18"/>
              </w:rPr>
              <w:t>Cost vs Revenue grouped bar</w:t>
            </w:r>
          </w:p>
        </w:tc>
        <w:tc>
          <w:tcPr>
            <w:tcW w:type="dxa" w:w="1512"/>
            <w:shd w:val="clear" w:color="auto" w:fill="F4F6F8"/>
          </w:tcPr>
          <w:p>
            <w:r>
              <w:rPr>
                <w:sz w:val="18"/>
              </w:rPr>
              <w:t>FT-07a–e</w:t>
            </w:r>
          </w:p>
        </w:tc>
        <w:tc>
          <w:tcPr>
            <w:tcW w:type="dxa" w:w="1512"/>
            <w:shd w:val="clear" w:color="auto" w:fill="F4F6F8"/>
          </w:tcPr>
          <w:p>
            <w:r>
              <w:rPr>
                <w:sz w:val="18"/>
              </w:rPr>
              <w:t>Chloe + Julie</w:t>
            </w:r>
          </w:p>
        </w:tc>
        <w:tc>
          <w:tcPr>
            <w:tcW w:type="dxa" w:w="1512"/>
            <w:shd w:val="clear" w:color="auto" w:fill="F4F6F8"/>
          </w:tcPr>
          <w:p>
            <w:r>
              <w:rPr>
                <w:sz w:val="18"/>
              </w:rPr>
              <w:t>PASS</w:t>
            </w:r>
          </w:p>
        </w:tc>
      </w:tr>
      <w:tr>
        <w:tc>
          <w:tcPr>
            <w:tcW w:type="dxa" w:w="1512"/>
            <w:shd w:val="clear" w:color="auto" w:fill="FFFFFF"/>
          </w:tcPr>
          <w:p>
            <w:r>
              <w:rPr>
                <w:sz w:val="18"/>
              </w:rPr>
              <w:t>US-08</w:t>
            </w:r>
          </w:p>
        </w:tc>
        <w:tc>
          <w:tcPr>
            <w:tcW w:type="dxa" w:w="1512"/>
            <w:shd w:val="clear" w:color="auto" w:fill="FFFFFF"/>
          </w:tcPr>
          <w:p>
            <w:r>
              <w:rPr>
                <w:sz w:val="18"/>
              </w:rPr>
              <w:t>Tab 2</w:t>
            </w:r>
          </w:p>
        </w:tc>
        <w:tc>
          <w:tcPr>
            <w:tcW w:type="dxa" w:w="1512"/>
            <w:shd w:val="clear" w:color="auto" w:fill="FFFFFF"/>
          </w:tcPr>
          <w:p>
            <w:r>
              <w:rPr>
                <w:sz w:val="18"/>
              </w:rPr>
              <w:t>Revenue by Campaign bar</w:t>
            </w:r>
          </w:p>
        </w:tc>
        <w:tc>
          <w:tcPr>
            <w:tcW w:type="dxa" w:w="1512"/>
            <w:shd w:val="clear" w:color="auto" w:fill="FFFFFF"/>
          </w:tcPr>
          <w:p>
            <w:r>
              <w:rPr>
                <w:sz w:val="18"/>
              </w:rPr>
              <w:t>FT-08a–e</w:t>
            </w:r>
          </w:p>
        </w:tc>
        <w:tc>
          <w:tcPr>
            <w:tcW w:type="dxa" w:w="1512"/>
            <w:shd w:val="clear" w:color="auto" w:fill="FFFFFF"/>
          </w:tcPr>
          <w:p>
            <w:r>
              <w:rPr>
                <w:sz w:val="18"/>
              </w:rPr>
              <w:t>Julie</w:t>
            </w:r>
          </w:p>
        </w:tc>
        <w:tc>
          <w:tcPr>
            <w:tcW w:type="dxa" w:w="1512"/>
            <w:shd w:val="clear" w:color="auto" w:fill="FFFFFF"/>
          </w:tcPr>
          <w:p>
            <w:r>
              <w:rPr>
                <w:sz w:val="18"/>
              </w:rPr>
              <w:t>PASS</w:t>
            </w:r>
          </w:p>
        </w:tc>
      </w:tr>
      <w:tr>
        <w:tc>
          <w:tcPr>
            <w:tcW w:type="dxa" w:w="1512"/>
            <w:shd w:val="clear" w:color="auto" w:fill="F4F6F8"/>
          </w:tcPr>
          <w:p>
            <w:r>
              <w:rPr>
                <w:sz w:val="18"/>
              </w:rPr>
              <w:t>US-09</w:t>
            </w:r>
          </w:p>
        </w:tc>
        <w:tc>
          <w:tcPr>
            <w:tcW w:type="dxa" w:w="1512"/>
            <w:shd w:val="clear" w:color="auto" w:fill="F4F6F8"/>
          </w:tcPr>
          <w:p>
            <w:r>
              <w:rPr>
                <w:sz w:val="18"/>
              </w:rPr>
              <w:t>Tab 3</w:t>
            </w:r>
          </w:p>
        </w:tc>
        <w:tc>
          <w:tcPr>
            <w:tcW w:type="dxa" w:w="1512"/>
            <w:shd w:val="clear" w:color="auto" w:fill="F4F6F8"/>
          </w:tcPr>
          <w:p>
            <w:r>
              <w:rPr>
                <w:sz w:val="18"/>
              </w:rPr>
              <w:t>Donor Segmentation + Donuts</w:t>
            </w:r>
          </w:p>
        </w:tc>
        <w:tc>
          <w:tcPr>
            <w:tcW w:type="dxa" w:w="1512"/>
            <w:shd w:val="clear" w:color="auto" w:fill="F4F6F8"/>
          </w:tcPr>
          <w:p>
            <w:r>
              <w:rPr>
                <w:sz w:val="18"/>
              </w:rPr>
              <w:t>FT-09a–f</w:t>
            </w:r>
          </w:p>
        </w:tc>
        <w:tc>
          <w:tcPr>
            <w:tcW w:type="dxa" w:w="1512"/>
            <w:shd w:val="clear" w:color="auto" w:fill="F4F6F8"/>
          </w:tcPr>
          <w:p>
            <w:r>
              <w:rPr>
                <w:sz w:val="18"/>
              </w:rPr>
              <w:t>Julie</w:t>
            </w:r>
          </w:p>
        </w:tc>
        <w:tc>
          <w:tcPr>
            <w:tcW w:type="dxa" w:w="1512"/>
            <w:shd w:val="clear" w:color="auto" w:fill="F4F6F8"/>
          </w:tcPr>
          <w:p>
            <w:r>
              <w:rPr>
                <w:sz w:val="18"/>
              </w:rPr>
              <w:t>PASS</w:t>
            </w:r>
          </w:p>
        </w:tc>
      </w:tr>
      <w:tr>
        <w:tc>
          <w:tcPr>
            <w:tcW w:type="dxa" w:w="1512"/>
            <w:shd w:val="clear" w:color="auto" w:fill="FFFFFF"/>
          </w:tcPr>
          <w:p>
            <w:r>
              <w:rPr>
                <w:sz w:val="18"/>
              </w:rPr>
              <w:t>US-10</w:t>
            </w:r>
          </w:p>
        </w:tc>
        <w:tc>
          <w:tcPr>
            <w:tcW w:type="dxa" w:w="1512"/>
            <w:shd w:val="clear" w:color="auto" w:fill="FFFFFF"/>
          </w:tcPr>
          <w:p>
            <w:r>
              <w:rPr>
                <w:sz w:val="18"/>
              </w:rPr>
              <w:t>Tab 3</w:t>
            </w:r>
          </w:p>
        </w:tc>
        <w:tc>
          <w:tcPr>
            <w:tcW w:type="dxa" w:w="1512"/>
            <w:shd w:val="clear" w:color="auto" w:fill="FFFFFF"/>
          </w:tcPr>
          <w:p>
            <w:r>
              <w:rPr>
                <w:sz w:val="18"/>
              </w:rPr>
              <w:t>Geographic Donation Map</w:t>
            </w:r>
          </w:p>
        </w:tc>
        <w:tc>
          <w:tcPr>
            <w:tcW w:type="dxa" w:w="1512"/>
            <w:shd w:val="clear" w:color="auto" w:fill="FFFFFF"/>
          </w:tcPr>
          <w:p>
            <w:r>
              <w:rPr>
                <w:sz w:val="18"/>
              </w:rPr>
              <w:t>FT-10a–e</w:t>
            </w:r>
          </w:p>
        </w:tc>
        <w:tc>
          <w:tcPr>
            <w:tcW w:type="dxa" w:w="1512"/>
            <w:shd w:val="clear" w:color="auto" w:fill="FFFFFF"/>
          </w:tcPr>
          <w:p>
            <w:r>
              <w:rPr>
                <w:sz w:val="18"/>
              </w:rPr>
              <w:t>Julie</w:t>
            </w:r>
          </w:p>
        </w:tc>
        <w:tc>
          <w:tcPr>
            <w:tcW w:type="dxa" w:w="1512"/>
            <w:shd w:val="clear" w:color="auto" w:fill="FFFFFF"/>
          </w:tcPr>
          <w:p>
            <w:r>
              <w:rPr>
                <w:sz w:val="18"/>
              </w:rPr>
              <w:t>PASS</w:t>
            </w:r>
          </w:p>
        </w:tc>
      </w:tr>
      <w:tr>
        <w:tc>
          <w:tcPr>
            <w:tcW w:type="dxa" w:w="1512"/>
            <w:shd w:val="clear" w:color="auto" w:fill="F4F6F8"/>
          </w:tcPr>
          <w:p>
            <w:r>
              <w:rPr>
                <w:sz w:val="18"/>
              </w:rPr>
              <w:t>US-11</w:t>
            </w:r>
          </w:p>
        </w:tc>
        <w:tc>
          <w:tcPr>
            <w:tcW w:type="dxa" w:w="1512"/>
            <w:shd w:val="clear" w:color="auto" w:fill="F4F6F8"/>
          </w:tcPr>
          <w:p>
            <w:r>
              <w:rPr>
                <w:sz w:val="18"/>
              </w:rPr>
              <w:t>Tab 3</w:t>
            </w:r>
          </w:p>
        </w:tc>
        <w:tc>
          <w:tcPr>
            <w:tcW w:type="dxa" w:w="1512"/>
            <w:shd w:val="clear" w:color="auto" w:fill="F4F6F8"/>
          </w:tcPr>
          <w:p>
            <w:r>
              <w:rPr>
                <w:sz w:val="18"/>
              </w:rPr>
              <w:t>Outlier Scatter (Coral flag)</w:t>
            </w:r>
          </w:p>
        </w:tc>
        <w:tc>
          <w:tcPr>
            <w:tcW w:type="dxa" w:w="1512"/>
            <w:shd w:val="clear" w:color="auto" w:fill="F4F6F8"/>
          </w:tcPr>
          <w:p>
            <w:r>
              <w:rPr>
                <w:sz w:val="18"/>
              </w:rPr>
              <w:t>FT-11a–e</w:t>
            </w:r>
          </w:p>
        </w:tc>
        <w:tc>
          <w:tcPr>
            <w:tcW w:type="dxa" w:w="1512"/>
            <w:shd w:val="clear" w:color="auto" w:fill="F4F6F8"/>
          </w:tcPr>
          <w:p>
            <w:r>
              <w:rPr>
                <w:sz w:val="18"/>
              </w:rPr>
              <w:t>Julie</w:t>
            </w:r>
          </w:p>
        </w:tc>
        <w:tc>
          <w:tcPr>
            <w:tcW w:type="dxa" w:w="1512"/>
            <w:shd w:val="clear" w:color="auto" w:fill="F4F6F8"/>
          </w:tcPr>
          <w:p>
            <w:r>
              <w:rPr>
                <w:sz w:val="18"/>
              </w:rPr>
              <w:t>PASS</w:t>
            </w:r>
          </w:p>
        </w:tc>
      </w:tr>
      <w:tr>
        <w:tc>
          <w:tcPr>
            <w:tcW w:type="dxa" w:w="1512"/>
            <w:shd w:val="clear" w:color="auto" w:fill="FFFFFF"/>
          </w:tcPr>
          <w:p>
            <w:r>
              <w:rPr>
                <w:sz w:val="18"/>
              </w:rPr>
              <w:t>US-12</w:t>
            </w:r>
          </w:p>
        </w:tc>
        <w:tc>
          <w:tcPr>
            <w:tcW w:type="dxa" w:w="1512"/>
            <w:shd w:val="clear" w:color="auto" w:fill="FFFFFF"/>
          </w:tcPr>
          <w:p>
            <w:r>
              <w:rPr>
                <w:sz w:val="18"/>
              </w:rPr>
              <w:t>Tab 3</w:t>
            </w:r>
          </w:p>
        </w:tc>
        <w:tc>
          <w:tcPr>
            <w:tcW w:type="dxa" w:w="1512"/>
            <w:shd w:val="clear" w:color="auto" w:fill="FFFFFF"/>
          </w:tcPr>
          <w:p>
            <w:r>
              <w:rPr>
                <w:sz w:val="18"/>
              </w:rPr>
              <w:t>Lifetime Giving Histogram</w:t>
            </w:r>
          </w:p>
        </w:tc>
        <w:tc>
          <w:tcPr>
            <w:tcW w:type="dxa" w:w="1512"/>
            <w:shd w:val="clear" w:color="auto" w:fill="FFFFFF"/>
          </w:tcPr>
          <w:p>
            <w:r>
              <w:rPr>
                <w:sz w:val="18"/>
              </w:rPr>
              <w:t>FT-12a–e</w:t>
            </w:r>
          </w:p>
        </w:tc>
        <w:tc>
          <w:tcPr>
            <w:tcW w:type="dxa" w:w="1512"/>
            <w:shd w:val="clear" w:color="auto" w:fill="FFFFFF"/>
          </w:tcPr>
          <w:p>
            <w:r>
              <w:rPr>
                <w:sz w:val="18"/>
              </w:rPr>
              <w:t>Chloe</w:t>
            </w:r>
          </w:p>
        </w:tc>
        <w:tc>
          <w:tcPr>
            <w:tcW w:type="dxa" w:w="1512"/>
            <w:shd w:val="clear" w:color="auto" w:fill="FFFFFF"/>
          </w:tcPr>
          <w:p>
            <w:r>
              <w:rPr>
                <w:sz w:val="18"/>
              </w:rPr>
              <w:t>PASS</w:t>
            </w:r>
          </w:p>
        </w:tc>
      </w:tr>
    </w:tbl>
    <w:p/>
    <w:p>
      <w:pPr>
        <w:spacing w:before="80" w:after="120"/>
        <w:ind w:left="432"/>
        <w:pBdr>
          <w:left w:val="single" w:sz="18" w:space="6" w:color="2E7D63"/>
        </w:pBdr>
      </w:pPr>
      <w:r>
        <w:rPr>
          <w:i/>
          <w:color w:val="6E7681"/>
          <w:sz w:val="20"/>
        </w:rPr>
        <w:t>All 12 user stories passed functional testing. All 12 non-functional requirements met the defined benchmarks. Zero defects outstanding. Authorization to proceed to stakeholder sign-off is granted by the Business Analyst.</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