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2A44"/>
          <w:sz w:val="56"/>
          <w:szCs w:val="56"/>
        </w:rPr>
        <w:t xml:space="preserve">Skye Data Advisory</w:t>
      </w:r>
    </w:p>
    <w:p>
      <w:pPr>
        <w:spacing w:after="240"/>
        <w:jc w:val="center"/>
      </w:pPr>
      <w:r>
        <w:rPr>
          <w:rFonts w:ascii="Arial" w:cs="Arial" w:eastAsia="Arial" w:hAnsi="Arial"/>
          <w:color w:val="3E8A8B"/>
          <w:sz w:val="40"/>
          <w:szCs w:val="40"/>
        </w:rPr>
        <w:t xml:space="preserve">Fundraising Intelligence Dashboard</w:t>
      </w:r>
    </w:p>
    <w:p>
      <w:pPr>
        <w:spacing w:after="240"/>
        <w:jc w:val="center"/>
      </w:pPr>
      <w:r>
        <w:rPr>
          <w:rFonts w:ascii="Arial" w:cs="Arial" w:eastAsia="Arial" w:hAnsi="Arial"/>
          <w:b/>
          <w:bCs/>
          <w:color w:val="1F2A44"/>
          <w:sz w:val="32"/>
          <w:szCs w:val="32"/>
        </w:rPr>
        <w:t xml:space="preserve">Full Project Documentation</w:t>
      </w:r>
    </w:p>
    <w:p>
      <w:pPr>
        <w:spacing w:after="480"/>
        <w:jc w:val="center"/>
      </w:pPr>
      <w:r>
        <w:rPr>
          <w:rFonts w:ascii="Arial" w:cs="Arial" w:eastAsia="Arial" w:hAnsi="Arial"/>
          <w:color w:val="555555"/>
          <w:sz w:val="24"/>
          <w:szCs w:val="24"/>
        </w:rPr>
        <w:t xml:space="preserve">Version 1.0  |  April 2026  |  Internal + Client-Facing</w:t>
      </w:r>
    </w:p>
    <w:p>
      <w:pPr>
        <w:pBdr>
          <w:bottom w:val="single" w:color="3E8A8B" w:sz="6" w:space="1"/>
        </w:pBdr>
      </w:pPr>
      <w:r>
        <w:t xml:space="preserve"/>
      </w:r>
    </w:p>
    <w:p>
      <w:r>
        <w:t xml:space="preserve"/>
      </w:r>
    </w:p>
    <w:p>
      <w:pPr>
        <w:jc w:val="center"/>
      </w:pPr>
      <w:r>
        <w:rPr>
          <w:rFonts w:ascii="Arial" w:cs="Arial" w:eastAsia="Arial" w:hAnsi="Arial"/>
          <w:i/>
          <w:iCs/>
          <w:color w:val="555555"/>
          <w:sz w:val="22"/>
          <w:szCs w:val="22"/>
        </w:rPr>
        <w:t xml:space="preserve">Prepared by the Skye Data Advisory Data Team</w:t>
      </w:r>
    </w:p>
    <w:p>
      <w:r>
        <w:br w:type="page"/>
      </w:r>
    </w:p>
    <w:p>
      <w:pPr>
        <w:pStyle w:val="Heading1"/>
      </w:pPr>
      <w:r>
        <w:rPr>
          <w:rFonts w:ascii="Arial" w:cs="Arial" w:eastAsia="Arial" w:hAnsi="Arial"/>
          <w:b/>
          <w:bCs/>
          <w:color w:val="1F2A44"/>
          <w:sz w:val="36"/>
          <w:szCs w:val="36"/>
        </w:rPr>
        <w:t xml:space="preserve">Section 1 — Project Overview</w:t>
      </w:r>
    </w:p>
    <w:p>
      <w:pPr>
        <w:pBdr>
          <w:bottom w:val="single" w:color="3E8A8B" w:sz="6" w:space="1"/>
        </w:pBdr>
      </w:pPr>
      <w:r>
        <w:t xml:space="preserve"/>
      </w:r>
    </w:p>
    <w:p>
      <w:r>
        <w:t xml:space="preserve"/>
      </w:r>
    </w:p>
    <w:p>
      <w:pPr>
        <w:pStyle w:val="Heading2"/>
      </w:pPr>
      <w:r>
        <w:rPr>
          <w:rFonts w:ascii="Arial" w:cs="Arial" w:eastAsia="Arial" w:hAnsi="Arial"/>
          <w:b/>
          <w:bCs/>
          <w:color w:val="3E8A8B"/>
          <w:sz w:val="28"/>
          <w:szCs w:val="28"/>
        </w:rPr>
        <w:t xml:space="preserve">1.1  Purpose</w:t>
      </w:r>
    </w:p>
    <w:p>
      <w:pPr>
        <w:spacing w:after="120"/>
      </w:pPr>
      <w:r>
        <w:rPr>
          <w:rFonts w:ascii="Arial" w:cs="Arial" w:eastAsia="Arial" w:hAnsi="Arial"/>
          <w:sz w:val="22"/>
          <w:szCs w:val="22"/>
        </w:rPr>
        <w:t xml:space="preserve">This document serves as the authoritative reference for the Skye Data Advisory Fundraising Intelligence Dashboard project. It covers the full analytics SDLC — from business requirements through data architecture, BI development, quality assurance, deployment, and governance.</w:t>
      </w:r>
    </w:p>
    <w:p>
      <w:pPr>
        <w:spacing w:after="120"/>
      </w:pPr>
      <w:r>
        <w:rPr>
          <w:rFonts w:ascii="Arial" w:cs="Arial" w:eastAsia="Arial" w:hAnsi="Arial"/>
          <w:sz w:val="22"/>
          <w:szCs w:val="22"/>
        </w:rPr>
        <w:t xml:space="preserve">Two audiences are served by this package:</w:t>
      </w:r>
    </w:p>
    <w:p>
      <w:pPr>
        <w:pStyle w:val="ListParagraph"/>
        <w:numPr>
          <w:ilvl w:val="0"/>
          <w:numId w:val="2"/>
        </w:numPr>
      </w:pPr>
      <w:r>
        <w:rPr>
          <w:rFonts w:ascii="Arial" w:cs="Arial" w:eastAsia="Arial" w:hAnsi="Arial"/>
          <w:sz w:val="22"/>
          <w:szCs w:val="22"/>
        </w:rPr>
        <w:t xml:space="preserve">Internal (Data / BI / Engineering): Complete technical specifications, calculations, data model, QA logs, and governance rules.</w:t>
      </w:r>
    </w:p>
    <w:p>
      <w:pPr>
        <w:pStyle w:val="ListParagraph"/>
        <w:numPr>
          <w:ilvl w:val="0"/>
          <w:numId w:val="2"/>
        </w:numPr>
      </w:pPr>
      <w:r>
        <w:rPr>
          <w:rFonts w:ascii="Arial" w:cs="Arial" w:eastAsia="Arial" w:hAnsi="Arial"/>
          <w:sz w:val="22"/>
          <w:szCs w:val="22"/>
        </w:rPr>
        <w:t xml:space="preserve">Client-Facing: Plain-language KPI definitions, threshold guides, dashboard walkthroughs, and actionable playbooks.</w:t>
      </w:r>
    </w:p>
    <w:p>
      <w:r>
        <w:t xml:space="preserve"/>
      </w:r>
    </w:p>
    <w:p>
      <w:pPr>
        <w:pStyle w:val="Heading2"/>
      </w:pPr>
      <w:r>
        <w:rPr>
          <w:rFonts w:ascii="Arial" w:cs="Arial" w:eastAsia="Arial" w:hAnsi="Arial"/>
          <w:b/>
          <w:bCs/>
          <w:color w:val="3E8A8B"/>
          <w:sz w:val="28"/>
          <w:szCs w:val="28"/>
        </w:rPr>
        <w:t xml:space="preserve">1.2  Project Objectives</w:t>
      </w:r>
    </w:p>
    <w:p>
      <w:pPr>
        <w:pStyle w:val="ListParagraph"/>
        <w:numPr>
          <w:ilvl w:val="0"/>
          <w:numId w:val="2"/>
        </w:numPr>
      </w:pPr>
      <w:r>
        <w:rPr>
          <w:rFonts w:ascii="Arial" w:cs="Arial" w:eastAsia="Arial" w:hAnsi="Arial"/>
          <w:sz w:val="22"/>
          <w:szCs w:val="22"/>
        </w:rPr>
        <w:t xml:space="preserve">Build a three-tab fundraising analytics dashboard in Tableau Public using Snowflake as the data source.</w:t>
      </w:r>
    </w:p>
    <w:p>
      <w:pPr>
        <w:pStyle w:val="ListParagraph"/>
        <w:numPr>
          <w:ilvl w:val="0"/>
          <w:numId w:val="2"/>
        </w:numPr>
      </w:pPr>
      <w:r>
        <w:rPr>
          <w:rFonts w:ascii="Arial" w:cs="Arial" w:eastAsia="Arial" w:hAnsi="Arial"/>
          <w:sz w:val="22"/>
          <w:szCs w:val="22"/>
        </w:rPr>
        <w:t xml:space="preserve">Define and encode stakeholder-calibrated KPI thresholds (Watch / Warning / Critical) with associated action triggers.</w:t>
      </w:r>
    </w:p>
    <w:p>
      <w:pPr>
        <w:pStyle w:val="ListParagraph"/>
        <w:numPr>
          <w:ilvl w:val="0"/>
          <w:numId w:val="2"/>
        </w:numPr>
      </w:pPr>
      <w:r>
        <w:rPr>
          <w:rFonts w:ascii="Arial" w:cs="Arial" w:eastAsia="Arial" w:hAnsi="Arial"/>
          <w:sz w:val="22"/>
          <w:szCs w:val="22"/>
        </w:rPr>
        <w:t xml:space="preserve">Deliver a reusable analytics product the Skye team can adapt for future nonprofit clients.</w:t>
      </w:r>
    </w:p>
    <w:p>
      <w:pPr>
        <w:pStyle w:val="ListParagraph"/>
        <w:numPr>
          <w:ilvl w:val="0"/>
          <w:numId w:val="2"/>
        </w:numPr>
      </w:pPr>
      <w:r>
        <w:rPr>
          <w:rFonts w:ascii="Arial" w:cs="Arial" w:eastAsia="Arial" w:hAnsi="Arial"/>
          <w:sz w:val="22"/>
          <w:szCs w:val="22"/>
        </w:rPr>
        <w:t xml:space="preserve">Complete the full SDLC within a 27-day build window beginning April 15, 2026.</w:t>
      </w:r>
    </w:p>
    <w:p>
      <w:r>
        <w:t xml:space="preserve"/>
      </w:r>
    </w:p>
    <w:p>
      <w:pPr>
        <w:pStyle w:val="Heading2"/>
      </w:pPr>
      <w:r>
        <w:rPr>
          <w:rFonts w:ascii="Arial" w:cs="Arial" w:eastAsia="Arial" w:hAnsi="Arial"/>
          <w:b/>
          <w:bCs/>
          <w:color w:val="3E8A8B"/>
          <w:sz w:val="28"/>
          <w:szCs w:val="28"/>
        </w:rPr>
        <w:t xml:space="preserve">1.3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In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Fundraising donations dataset (1,000 synthetic rows); Snowflake analytics view; Tableau Public three-tab dashboard; KPI definitions, thresholds, and action playbook; QA and UAT; documentation package.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Out of 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donor PII; live Snowflake connector to Tableau Public; predictive modeling; mobile-optimized dashboard.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Data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1, 2024 – December 31, 2024 (full calendar year synthetic data).</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Snowflake (FUNDRAISING_DB.ANALYTICS) → CSV Extract → Tableau Public.</w:t>
            </w:r>
          </w:p>
        </w:tc>
      </w:tr>
    </w:tbl>
    <w:p>
      <w:r>
        <w:t xml:space="preserve"/>
      </w:r>
    </w:p>
    <w:p>
      <w:r>
        <w:br w:type="page"/>
      </w:r>
    </w:p>
    <w:p>
      <w:pPr>
        <w:pStyle w:val="Heading1"/>
      </w:pPr>
      <w:r>
        <w:rPr>
          <w:rFonts w:ascii="Arial" w:cs="Arial" w:eastAsia="Arial" w:hAnsi="Arial"/>
          <w:b/>
          <w:bCs/>
          <w:color w:val="1F2A44"/>
          <w:sz w:val="36"/>
          <w:szCs w:val="36"/>
        </w:rPr>
        <w:t xml:space="preserve">Section 2 — DARCI Matrix &amp; Distribution</w:t>
      </w:r>
    </w:p>
    <w:p>
      <w:pPr>
        <w:pBdr>
          <w:bottom w:val="single" w:color="3E8A8B" w:sz="6" w:space="1"/>
        </w:pBdr>
      </w:pPr>
      <w:r>
        <w:t xml:space="preserve"/>
      </w:r>
    </w:p>
    <w:p>
      <w:r>
        <w:t xml:space="preserve"/>
      </w:r>
    </w:p>
    <w:p>
      <w:pPr>
        <w:pStyle w:val="Heading2"/>
      </w:pPr>
      <w:r>
        <w:rPr>
          <w:rFonts w:ascii="Arial" w:cs="Arial" w:eastAsia="Arial" w:hAnsi="Arial"/>
          <w:b/>
          <w:bCs/>
          <w:color w:val="3E8A8B"/>
          <w:sz w:val="28"/>
          <w:szCs w:val="28"/>
        </w:rPr>
        <w:t xml:space="preserve">2.1  DARCI Definition</w:t>
      </w:r>
    </w:p>
    <w:p>
      <w:pPr>
        <w:spacing w:after="120"/>
      </w:pPr>
      <w:r>
        <w:rPr>
          <w:rFonts w:ascii="Arial" w:cs="Arial" w:eastAsia="Arial" w:hAnsi="Arial"/>
          <w:sz w:val="22"/>
          <w:szCs w:val="22"/>
        </w:rPr>
        <w:t xml:space="preserve">DARCI defines accountability for every deliverable. Approver sign-off is required before distribution to any Consulted or Informed party.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3000"/>
      </w:tblGrid>
      <w:tr>
        <w:trPr>
          <w:tblHeader/>
        </w:trPr>
        <w:tc>
          <w:tcPr>
            <w:tcW w:type="dxa" w:w="1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Assigned To</w:t>
            </w:r>
          </w:p>
        </w:tc>
        <w:tc>
          <w:tcPr>
            <w:tcW w:type="dxa" w:w="3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Responsibilities</w:t>
            </w:r>
          </w:p>
        </w:tc>
        <w:tc>
          <w:tcPr>
            <w:tcW w:type="dxa" w:w="3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 — Driver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Manager</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Owns schedule, unblocks team, runs standups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Plan, Status Reports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 — Approver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Signs off on data definitions, metric logic, governance compliance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Approval memo, signed QA log</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R — Responsible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Builds Snowflake view, Tableau extract, dashboard sheets</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 dashboard, calc library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 — Consulted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Analyst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Requirements, user stories, wireframe, UAT scenarios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BRD, wireframe, UAT plan</w:t>
            </w:r>
          </w:p>
        </w:tc>
      </w:tr>
      <w:tr>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 — Consulted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UX Designer</w:t>
            </w:r>
          </w:p>
        </w:tc>
        <w:tc>
          <w:tcPr>
            <w:tcW w:type="dxa" w:w="3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Wireframe layout, Skye visual system application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wireframe PNGs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 — Informed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Nonprofit Stakeholders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 dashboard, attend UAT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link, walkthrough guide</w:t>
            </w:r>
          </w:p>
        </w:tc>
      </w:tr>
    </w:tbl>
    <w:p>
      <w:r>
        <w:t xml:space="preserve"/>
      </w:r>
    </w:p>
    <w:p>
      <w:pPr>
        <w:pStyle w:val="Heading2"/>
      </w:pPr>
      <w:r>
        <w:rPr>
          <w:rFonts w:ascii="Arial" w:cs="Arial" w:eastAsia="Arial" w:hAnsi="Arial"/>
          <w:b/>
          <w:bCs/>
          <w:color w:val="3E8A8B"/>
          <w:sz w:val="28"/>
          <w:szCs w:val="28"/>
        </w:rPr>
        <w:t xml:space="preserve">2.2  Distribution Protocol</w:t>
      </w:r>
    </w:p>
    <w:p>
      <w:pPr>
        <w:spacing w:after="120"/>
      </w:pPr>
      <w:r>
        <w:rPr>
          <w:rFonts w:ascii="Arial" w:cs="Arial" w:eastAsia="Arial" w:hAnsi="Arial"/>
          <w:sz w:val="22"/>
          <w:szCs w:val="22"/>
        </w:rPr>
        <w:t xml:space="preserve">After Data Manager approval, deliverables are distributed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BI 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Internal Pack (project plan, data model, calc library, QA logs)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Business Analyst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BRD, user stories, wireframe, UAT plan, threshold matrix</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UX Designer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Wireframe spec, Skye visual system guide, dashboard layout spec</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Stakeholders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Dashboard Guide, KPI definitions, threshold guide, walkthrough</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Project Sponsor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summary, Gantt milestone view, risk log</w:t>
            </w:r>
          </w:p>
        </w:tc>
      </w:tr>
    </w:tbl>
    <w:p>
      <w:r>
        <w:t xml:space="preserve"/>
      </w:r>
    </w:p>
    <w:p>
      <w:r>
        <w:br w:type="page"/>
      </w:r>
    </w:p>
    <w:p>
      <w:pPr>
        <w:pStyle w:val="Heading1"/>
      </w:pPr>
      <w:r>
        <w:rPr>
          <w:rFonts w:ascii="Arial" w:cs="Arial" w:eastAsia="Arial" w:hAnsi="Arial"/>
          <w:b/>
          <w:bCs/>
          <w:color w:val="1F2A44"/>
          <w:sz w:val="36"/>
          <w:szCs w:val="36"/>
        </w:rPr>
        <w:t xml:space="preserve">Section 3 — BI/Analytics SDLC Standardized Checklist</w:t>
      </w:r>
    </w:p>
    <w:p>
      <w:pPr>
        <w:pBdr>
          <w:bottom w:val="single" w:color="3E8A8B" w:sz="6" w:space="1"/>
        </w:pBdr>
      </w:pPr>
      <w:r>
        <w:t xml:space="preserve"/>
      </w:r>
    </w:p>
    <w:p>
      <w:r>
        <w:t xml:space="preserve"/>
      </w:r>
    </w:p>
    <w:p>
      <w:pPr>
        <w:spacing w:after="120"/>
      </w:pPr>
      <w:r>
        <w:rPr>
          <w:rFonts w:ascii="Arial" w:cs="Arial" w:eastAsia="Arial" w:hAnsi="Arial"/>
          <w:sz w:val="22"/>
          <w:szCs w:val="22"/>
        </w:rPr>
        <w:t xml:space="preserve">This checklist governs every analytics use case delivered by Skye Data Advisory. Complete each item in sequence. Approver sign-off is required at Phase 4, Phase 6, and Phase 8 gates.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1800"/>
        <w:gridCol w:w="1200"/>
        <w:gridCol w:w="800"/>
      </w:tblGrid>
      <w:tr>
        <w:trPr>
          <w:tblHeader/>
        </w:trPr>
        <w:tc>
          <w:tcPr>
            <w:tcW w:type="dxa" w:w="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Checklist Item</w:t>
            </w:r>
          </w:p>
        </w:tc>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Done</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business objective and success criteria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1 – Initiation</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stakeholders and assign DARCI roles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Initiation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use case statement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1 – Initiation</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 constraints (timeline, tools, data access, PII)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 / 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 Initiation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platform stack (Snowflake → Tableau Public)</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1 – Initiation</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business questions the dashboard must answer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Requirements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KPIs with business definitions and owners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 Requirements</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Conduct threshold definition workshop with stakeholders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Requirements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9</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Watch / Warning / Critical thresholds per KPI</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 Requirements</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KPIs to decisions and action owners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 Requirements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11</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Translate metric sensitivity to dollar impact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 Requirements</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all required source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 / Data Eng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Data Design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13</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full business data dictionary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3 – Data Design</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Snowflake data model (fact + dimensions)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Data Design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15</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Snowflake → Tableau extract flow</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3 – Data Design</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 export format and naming convention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 Data Design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17</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 APPROVAL — data model and definitions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 1</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raw data into Snowflake raw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Data Build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19</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curated VW_FUNDRAISING_DASHBOARD analytics view</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4 – Data Build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row counts, nulls, duplicates, date formats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Data Build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21</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Baseline reconciliation report (source vs. view totals)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Analyst</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4 – Data Build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Export CSV extract from analytics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Data Build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23</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 CSV to Tableau Public (Text File connector)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5 – BI Build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field data types in Tableau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BI Build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25</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 all calculated fields per calc library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5 – BI Build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all worksheets per sheet spec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BI Build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27</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Skye visual system (colors, fonts, spacing)</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5 – BI Build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threshold color logic to KPI cards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BI Build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29</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Assemble three dashboard tabs per wireframe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5 – BI Build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insight annotations per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 BI Build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31</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UX / BA wireframe alignment review</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 / UX</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 2</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stories mapped to wireframe elements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 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33</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row count parity (Snowflake vs. Tableau)</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 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total donations reconciliation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 BA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35</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distinct donor count reconciliation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 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campaign-level and monthly totals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 BA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37</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all calculated fields validated against SQL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 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filter behavior across all dashboard tabs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 BA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39</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threshold color triggers validated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 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test: dashboard load time &lt; 5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41</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Stress test: all filters applied simultaneously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 color contrast meets WCAG AA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 QA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43</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 APPROVAL — metrics and governance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 3</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UAT Plan executed with stakeholder sign-off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 / Business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 UAT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45</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requests logged and resolved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7 – UAT</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 dashboard to Tableau 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 Deploy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47</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published dashboard matches approved version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8 – Deploy</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 full documentation 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 Deploy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49</w:t>
            </w:r>
          </w:p>
        </w:tc>
        <w:tc>
          <w:tcPr>
            <w:tcW w:type="dxa" w:w="5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training / walkthrough session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8 – Deploy</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Establish data refresh and governance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 Deploy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t xml:space="preserve"/>
      </w:r>
    </w:p>
    <w:p>
      <w:pPr>
        <w:pStyle w:val="Heading2"/>
      </w:pPr>
      <w:r>
        <w:rPr>
          <w:rFonts w:ascii="Arial" w:cs="Arial" w:eastAsia="Arial" w:hAnsi="Arial"/>
          <w:b/>
          <w:bCs/>
          <w:color w:val="3E8A8B"/>
          <w:sz w:val="28"/>
          <w:szCs w:val="28"/>
        </w:rPr>
        <w:t xml:space="preserve">Appendix — Additional Steps Taken in This Project</w:t>
      </w:r>
    </w:p>
    <w:p>
      <w:pPr>
        <w:spacing w:after="120"/>
      </w:pPr>
      <w:r>
        <w:rPr>
          <w:rFonts w:ascii="Arial" w:cs="Arial" w:eastAsia="Arial" w:hAnsi="Arial"/>
          <w:sz w:val="22"/>
          <w:szCs w:val="22"/>
        </w:rPr>
        <w:t xml:space="preserve">The following items were added to the standard SDLC based on project-specific decisions made during design:</w:t>
      </w:r>
    </w:p>
    <w:p>
      <w:pPr>
        <w:pStyle w:val="ListParagraph"/>
        <w:numPr>
          <w:ilvl w:val="0"/>
          <w:numId w:val="2"/>
        </w:numPr>
      </w:pPr>
      <w:r>
        <w:rPr>
          <w:rFonts w:ascii="Arial" w:cs="Arial" w:eastAsia="Arial" w:hAnsi="Arial"/>
          <w:sz w:val="22"/>
          <w:szCs w:val="22"/>
        </w:rPr>
        <w:t xml:space="preserve">Threshold Definition Workshop added as a required pre-build step to calibrate KPI alert logic with stakeholders.</w:t>
      </w:r>
    </w:p>
    <w:p>
      <w:pPr>
        <w:pStyle w:val="ListParagraph"/>
        <w:numPr>
          <w:ilvl w:val="0"/>
          <w:numId w:val="2"/>
        </w:numPr>
      </w:pPr>
      <w:r>
        <w:rPr>
          <w:rFonts w:ascii="Arial" w:cs="Arial" w:eastAsia="Arial" w:hAnsi="Arial"/>
          <w:sz w:val="22"/>
          <w:szCs w:val="22"/>
        </w:rPr>
        <w:t xml:space="preserve">Dollar Impact Translation added to each KPI: stakeholders asked that metric changes be expressed in estimated revenue terms.</w:t>
      </w:r>
    </w:p>
    <w:p>
      <w:pPr>
        <w:pStyle w:val="ListParagraph"/>
        <w:numPr>
          <w:ilvl w:val="0"/>
          <w:numId w:val="2"/>
        </w:numPr>
      </w:pPr>
      <w:r>
        <w:rPr>
          <w:rFonts w:ascii="Arial" w:cs="Arial" w:eastAsia="Arial" w:hAnsi="Arial"/>
          <w:sz w:val="22"/>
          <w:szCs w:val="22"/>
        </w:rPr>
        <w:t xml:space="preserve">Insight + Action Panel added to each dashboard tab, converting observations into prescribed next steps.</w:t>
      </w:r>
    </w:p>
    <w:p>
      <w:pPr>
        <w:pStyle w:val="ListParagraph"/>
        <w:numPr>
          <w:ilvl w:val="0"/>
          <w:numId w:val="2"/>
        </w:numPr>
      </w:pPr>
      <w:r>
        <w:rPr>
          <w:rFonts w:ascii="Arial" w:cs="Arial" w:eastAsia="Arial" w:hAnsi="Arial"/>
          <w:sz w:val="22"/>
          <w:szCs w:val="22"/>
        </w:rPr>
        <w:t xml:space="preserve">Benchmark Layer added: industry nonprofit benchmarks are shown alongside actuals so stakeholders understand relative performance.</w:t>
      </w:r>
    </w:p>
    <w:p>
      <w:pPr>
        <w:pStyle w:val="ListParagraph"/>
        <w:numPr>
          <w:ilvl w:val="0"/>
          <w:numId w:val="2"/>
        </w:numPr>
      </w:pPr>
      <w:r>
        <w:rPr>
          <w:rFonts w:ascii="Arial" w:cs="Arial" w:eastAsia="Arial" w:hAnsi="Arial"/>
          <w:sz w:val="22"/>
          <w:szCs w:val="22"/>
        </w:rPr>
        <w:t xml:space="preserve">Campaign cost deduplication resolved using Snowflake FIXED LOD logic to prevent double-counting campaign spend across rows.</w:t>
      </w:r>
    </w:p>
    <w:p>
      <w:pPr>
        <w:pStyle w:val="ListParagraph"/>
        <w:numPr>
          <w:ilvl w:val="0"/>
          <w:numId w:val="2"/>
        </w:numPr>
      </w:pPr>
      <w:r>
        <w:rPr>
          <w:rFonts w:ascii="Arial" w:cs="Arial" w:eastAsia="Arial" w:hAnsi="Arial"/>
          <w:sz w:val="22"/>
          <w:szCs w:val="22"/>
        </w:rPr>
        <w:t xml:space="preserve">Skye visual system formally documented and applied: Navy/Teal/Gold/Coral color rules defined for stable/watch/warning/critical states.</w:t>
      </w:r>
    </w:p>
    <w:p>
      <w:pPr>
        <w:pStyle w:val="ListParagraph"/>
        <w:numPr>
          <w:ilvl w:val="0"/>
          <w:numId w:val="2"/>
        </w:numPr>
      </w:pPr>
      <w:r>
        <w:rPr>
          <w:rFonts w:ascii="Arial" w:cs="Arial" w:eastAsia="Arial" w:hAnsi="Arial"/>
          <w:sz w:val="22"/>
          <w:szCs w:val="22"/>
        </w:rPr>
        <w:t xml:space="preserve">Client-facing Dashboard Guide created in addition to internal technical documentation.</w:t>
      </w:r>
    </w:p>
    <w:p>
      <w:pPr>
        <w:pStyle w:val="ListParagraph"/>
        <w:numPr>
          <w:ilvl w:val="0"/>
          <w:numId w:val="2"/>
        </w:numPr>
      </w:pPr>
      <w:r>
        <w:rPr>
          <w:rFonts w:ascii="Arial" w:cs="Arial" w:eastAsia="Arial" w:hAnsi="Arial"/>
          <w:sz w:val="22"/>
          <w:szCs w:val="22"/>
        </w:rPr>
        <w:t xml:space="preserve">Traceability matrix (user story → wireframe → metric → visualization) produced for QA and change management.</w:t>
      </w:r>
    </w:p>
    <w:p>
      <w:r>
        <w:t xml:space="preserve"/>
      </w:r>
    </w:p>
    <w:p>
      <w:r>
        <w:br w:type="page"/>
      </w:r>
    </w:p>
    <w:p>
      <w:pPr>
        <w:pStyle w:val="Heading1"/>
      </w:pPr>
      <w:r>
        <w:rPr>
          <w:rFonts w:ascii="Arial" w:cs="Arial" w:eastAsia="Arial" w:hAnsi="Arial"/>
          <w:b/>
          <w:bCs/>
          <w:color w:val="1F2A44"/>
          <w:sz w:val="36"/>
          <w:szCs w:val="36"/>
        </w:rPr>
        <w:t xml:space="preserve">Section 4 — Analytics Use Case &amp; User Stories</w:t>
      </w:r>
    </w:p>
    <w:p>
      <w:pPr>
        <w:pBdr>
          <w:bottom w:val="single" w:color="3E8A8B" w:sz="6" w:space="1"/>
        </w:pBdr>
      </w:pPr>
      <w:r>
        <w:t xml:space="preserve"/>
      </w:r>
    </w:p>
    <w:p>
      <w:r>
        <w:t xml:space="preserve"/>
      </w:r>
    </w:p>
    <w:p>
      <w:pPr>
        <w:pStyle w:val="Heading2"/>
      </w:pPr>
      <w:r>
        <w:rPr>
          <w:rFonts w:ascii="Arial" w:cs="Arial" w:eastAsia="Arial" w:hAnsi="Arial"/>
          <w:b/>
          <w:bCs/>
          <w:color w:val="3E8A8B"/>
          <w:sz w:val="28"/>
          <w:szCs w:val="28"/>
        </w:rPr>
        <w:t xml:space="preserve">4.1  Use Case Statement</w:t>
      </w:r>
    </w:p>
    <w:p>
      <w:pPr>
        <w:spacing w:after="120"/>
      </w:pPr>
      <w:r>
        <w:rPr>
          <w:rFonts w:ascii="Arial" w:cs="Arial" w:eastAsia="Arial" w:hAnsi="Arial"/>
          <w:sz w:val="22"/>
          <w:szCs w:val="22"/>
        </w:rPr>
        <w:t xml:space="preserve">Help nonprofit leadership and fundraising teams monitor revenue performance, donor behavior, campaign effectiveness, and email engagement so they can take timely, evidence-based action.</w:t>
      </w:r>
    </w:p>
    <w:p>
      <w:r>
        <w:t xml:space="preserve"/>
      </w:r>
    </w:p>
    <w:p>
      <w:pPr>
        <w:pStyle w:val="Heading2"/>
      </w:pPr>
      <w:r>
        <w:rPr>
          <w:rFonts w:ascii="Arial" w:cs="Arial" w:eastAsia="Arial" w:hAnsi="Arial"/>
          <w:b/>
          <w:bCs/>
          <w:color w:val="3E8A8B"/>
          <w:sz w:val="28"/>
          <w:szCs w:val="28"/>
        </w:rPr>
        <w:t xml:space="preserve">4.2  Business Questions</w:t>
      </w:r>
    </w:p>
    <w:p>
      <w:pPr>
        <w:pStyle w:val="ListParagraph"/>
        <w:numPr>
          <w:ilvl w:val="0"/>
          <w:numId w:val="2"/>
        </w:numPr>
      </w:pPr>
      <w:r>
        <w:rPr>
          <w:rFonts w:ascii="Arial" w:cs="Arial" w:eastAsia="Arial" w:hAnsi="Arial"/>
          <w:sz w:val="22"/>
          <w:szCs w:val="22"/>
        </w:rPr>
        <w:t xml:space="preserve">How much did we raise this period, and how does that compare to prior periods?</w:t>
      </w:r>
    </w:p>
    <w:p>
      <w:pPr>
        <w:pStyle w:val="ListParagraph"/>
        <w:numPr>
          <w:ilvl w:val="0"/>
          <w:numId w:val="2"/>
        </w:numPr>
      </w:pPr>
      <w:r>
        <w:rPr>
          <w:rFonts w:ascii="Arial" w:cs="Arial" w:eastAsia="Arial" w:hAnsi="Arial"/>
          <w:sz w:val="22"/>
          <w:szCs w:val="22"/>
        </w:rPr>
        <w:t xml:space="preserve">Which campaigns generated the highest revenue and return on investment?</w:t>
      </w:r>
    </w:p>
    <w:p>
      <w:pPr>
        <w:pStyle w:val="ListParagraph"/>
        <w:numPr>
          <w:ilvl w:val="0"/>
          <w:numId w:val="2"/>
        </w:numPr>
      </w:pPr>
      <w:r>
        <w:rPr>
          <w:rFonts w:ascii="Arial" w:cs="Arial" w:eastAsia="Arial" w:hAnsi="Arial"/>
          <w:sz w:val="22"/>
          <w:szCs w:val="22"/>
        </w:rPr>
        <w:t xml:space="preserve">Are our donors returning? What is our repeat donor rate trend?</w:t>
      </w:r>
    </w:p>
    <w:p>
      <w:pPr>
        <w:pStyle w:val="ListParagraph"/>
        <w:numPr>
          <w:ilvl w:val="0"/>
          <w:numId w:val="2"/>
        </w:numPr>
      </w:pPr>
      <w:r>
        <w:rPr>
          <w:rFonts w:ascii="Arial" w:cs="Arial" w:eastAsia="Arial" w:hAnsi="Arial"/>
          <w:sz w:val="22"/>
          <w:szCs w:val="22"/>
        </w:rPr>
        <w:t xml:space="preserve">How effective is email as an engagement and conversion channel?</w:t>
      </w:r>
    </w:p>
    <w:p>
      <w:pPr>
        <w:pStyle w:val="ListParagraph"/>
        <w:numPr>
          <w:ilvl w:val="0"/>
          <w:numId w:val="2"/>
        </w:numPr>
      </w:pPr>
      <w:r>
        <w:rPr>
          <w:rFonts w:ascii="Arial" w:cs="Arial" w:eastAsia="Arial" w:hAnsi="Arial"/>
          <w:sz w:val="22"/>
          <w:szCs w:val="22"/>
        </w:rPr>
        <w:t xml:space="preserve">Which donor segments drive the most revenue?</w:t>
      </w:r>
    </w:p>
    <w:p>
      <w:pPr>
        <w:pStyle w:val="ListParagraph"/>
        <w:numPr>
          <w:ilvl w:val="0"/>
          <w:numId w:val="2"/>
        </w:numPr>
      </w:pPr>
      <w:r>
        <w:rPr>
          <w:rFonts w:ascii="Arial" w:cs="Arial" w:eastAsia="Arial" w:hAnsi="Arial"/>
          <w:sz w:val="22"/>
          <w:szCs w:val="22"/>
        </w:rPr>
        <w:t xml:space="preserve">Where are our donors geographically concentrated?</w:t>
      </w:r>
    </w:p>
    <w:p>
      <w:pPr>
        <w:pStyle w:val="ListParagraph"/>
        <w:numPr>
          <w:ilvl w:val="0"/>
          <w:numId w:val="2"/>
        </w:numPr>
      </w:pPr>
      <w:r>
        <w:rPr>
          <w:rFonts w:ascii="Arial" w:cs="Arial" w:eastAsia="Arial" w:hAnsi="Arial"/>
          <w:sz w:val="22"/>
          <w:szCs w:val="22"/>
        </w:rPr>
        <w:t xml:space="preserve">When does performance cross a threshold that requires leadership action?</w:t>
      </w:r>
    </w:p>
    <w:p>
      <w:r>
        <w:t xml:space="preserve"/>
      </w:r>
    </w:p>
    <w:p>
      <w:pPr>
        <w:pStyle w:val="Heading2"/>
      </w:pPr>
      <w:r>
        <w:rPr>
          <w:rFonts w:ascii="Arial" w:cs="Arial" w:eastAsia="Arial" w:hAnsi="Arial"/>
          <w:b/>
          <w:bCs/>
          <w:color w:val="3E8A8B"/>
          <w:sz w:val="28"/>
          <w:szCs w:val="28"/>
        </w:rPr>
        <w:t xml:space="preserve">4.3  User Stories</w:t>
      </w:r>
    </w:p>
    <w:p>
      <w:r>
        <w:t xml:space="preserve"/>
      </w:r>
    </w:p>
    <w:p>
      <w:pPr>
        <w:pStyle w:val="Heading3"/>
      </w:pPr>
      <w:r>
        <w:rPr>
          <w:rFonts w:ascii="Arial" w:cs="Arial" w:eastAsia="Arial" w:hAnsi="Arial"/>
          <w:b/>
          <w:bCs/>
          <w:color w:val="1F2A44"/>
          <w:sz w:val="24"/>
          <w:szCs w:val="24"/>
        </w:rPr>
        <w:t xml:space="preserve">Executive Overview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rPr>
          <w:tblHeader/>
        </w:trPr>
        <w:tc>
          <w:tcPr>
            <w:tcW w:type="dxa" w:w="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 need to…</w:t>
            </w:r>
          </w:p>
        </w:tc>
        <w:tc>
          <w:tcPr>
            <w:tcW w:type="dxa" w:w="29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 that I can…</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US-01</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Director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total donations in a single KPI card with trend direction</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 overall fundraising health at a glance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Director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repeat donor rate with threshold color coding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 when retention requires immediate intervention</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US-03</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Director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campaign ROI ranked by return</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prioritize which campaigns to scale or cut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Director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a donations trend line over the full year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seasonality and growth patterns</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US-05</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Director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an insight panel with recommended actions</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act on the data without needing additional analysis</w:t>
            </w:r>
          </w:p>
        </w:tc>
      </w:tr>
    </w:tbl>
    <w:p>
      <w:r>
        <w:t xml:space="preserve"/>
      </w:r>
    </w:p>
    <w:p>
      <w:pPr>
        <w:pStyle w:val="Heading3"/>
      </w:pPr>
      <w:r>
        <w:rPr>
          <w:rFonts w:ascii="Arial" w:cs="Arial" w:eastAsia="Arial" w:hAnsi="Arial"/>
          <w:b/>
          <w:bCs/>
          <w:color w:val="1F2A44"/>
          <w:sz w:val="24"/>
          <w:szCs w:val="24"/>
        </w:rPr>
        <w:t xml:space="preserve">Campaign Performance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rPr>
          <w:tblHeader/>
        </w:trPr>
        <w:tc>
          <w:tcPr>
            <w:tcW w:type="dxa" w:w="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 need to…</w:t>
            </w:r>
          </w:p>
        </w:tc>
        <w:tc>
          <w:tcPr>
            <w:tcW w:type="dxa" w:w="29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 that I can…</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US-06</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Fundraising Manager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compare revenue and ROI across all campaigns</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allocate next-cycle budget to top performers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Fundraising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email open → click → donation funnel by campaign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where email conversion breaks down</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US-08</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Fundraising Manager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compare campaign cost against net revenue</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unprofitable campaigns before they scale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Analyst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the campaign view by channel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understand which outreach method drives results</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US-10</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Analyst</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email conversion rate with threshold alert</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escalate when conversion falls below acceptable levels</w:t>
            </w:r>
          </w:p>
        </w:tc>
      </w:tr>
    </w:tbl>
    <w:p>
      <w:r>
        <w:t xml:space="preserve"/>
      </w:r>
    </w:p>
    <w:p>
      <w:pPr>
        <w:pStyle w:val="Heading3"/>
      </w:pPr>
      <w:r>
        <w:rPr>
          <w:rFonts w:ascii="Arial" w:cs="Arial" w:eastAsia="Arial" w:hAnsi="Arial"/>
          <w:b/>
          <w:bCs/>
          <w:color w:val="1F2A44"/>
          <w:sz w:val="24"/>
          <w:szCs w:val="24"/>
        </w:rPr>
        <w:t xml:space="preserve">Donor Intelligence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rPr>
          <w:tblHeader/>
        </w:trPr>
        <w:tc>
          <w:tcPr>
            <w:tcW w:type="dxa" w:w="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 need to…</w:t>
            </w:r>
          </w:p>
        </w:tc>
        <w:tc>
          <w:tcPr>
            <w:tcW w:type="dxa" w:w="29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 that I can…</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US-11</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Director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donor segmentation by revenue contribution</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understand major vs. general vs. recurring donor mix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Director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average lifetime value by segment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prioritize major donor retention and upgrade efforts</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US-13</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repeat vs. new donor trend over time</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 whether acquisition or retention is driving growth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geographic distribution of donations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expansion or engagement opportunities by state</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US-15</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Director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see outlier donors highlighted in coral</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quickly investigate unusual giving patterns</w:t>
            </w:r>
          </w:p>
        </w:tc>
      </w:tr>
    </w:tbl>
    <w:p>
      <w:r>
        <w:t xml:space="preserve"/>
      </w:r>
    </w:p>
    <w:p>
      <w:pPr>
        <w:pStyle w:val="Heading2"/>
      </w:pPr>
      <w:r>
        <w:rPr>
          <w:rFonts w:ascii="Arial" w:cs="Arial" w:eastAsia="Arial" w:hAnsi="Arial"/>
          <w:b/>
          <w:bCs/>
          <w:color w:val="3E8A8B"/>
          <w:sz w:val="28"/>
          <w:szCs w:val="28"/>
        </w:rPr>
        <w:t xml:space="preserve">4.4  User Story → Wireframe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1960"/>
        <w:gridCol w:w="1400"/>
        <w:gridCol w:w="1400"/>
      </w:tblGrid>
      <w:tr>
        <w:trPr>
          <w:tblHeader/>
        </w:trPr>
        <w:tc>
          <w:tcPr>
            <w:tcW w:type="dxa" w:w="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Dashboard Tab</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Wireframe Element</w:t>
            </w:r>
          </w:p>
        </w:tc>
        <w:tc>
          <w:tcPr>
            <w:tcW w:type="dxa" w:w="19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Chart Type</w:t>
            </w:r>
          </w:p>
        </w:tc>
        <w:tc>
          <w:tcPr>
            <w:tcW w:type="dxa" w:w="1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Overview</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Card — Top Row</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Donations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Card</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Overview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Card — Top Row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 Donor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Card w/ color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US-03</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Overview</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 Middle</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ROI</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Ranked Bar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Overview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 Middle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Donations Over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Chart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Overview</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Insight Panel — Bottom</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Annotation</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 Middle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by Campaign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Ranked Bar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US-07</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Funnel — Middle</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Open→Click→Donate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Funnel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 Bottom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vs Net Revenue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Grouped Bar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US-09</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Bar — Top</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Channel Filter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Filter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Card — Top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Conversion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Card w/ color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US-11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Intelligence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Donut — Middle</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Segmentation</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Donut Chart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 Middle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Lifetime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Chart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US-13</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Intelligence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Line — Middle</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 vs New Donor Trend</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Dual-line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US-14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Intelligence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 Bottom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Geographic Donations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Filled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US-15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Intelligence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Scatter/Table</w:t>
            </w:r>
          </w:p>
        </w:tc>
        <w:tc>
          <w:tcPr>
            <w:tcW w:type="dxa" w:w="1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Outlier Donors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Coral Highlight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 Wireframe</w:t>
            </w:r>
          </w:p>
        </w:tc>
      </w:tr>
    </w:tbl>
    <w:p>
      <w:r>
        <w:t xml:space="preserve"/>
      </w:r>
    </w:p>
    <w:p>
      <w:r>
        <w:br w:type="page"/>
      </w:r>
    </w:p>
    <w:p>
      <w:pPr>
        <w:pStyle w:val="Heading1"/>
      </w:pPr>
      <w:r>
        <w:rPr>
          <w:rFonts w:ascii="Arial" w:cs="Arial" w:eastAsia="Arial" w:hAnsi="Arial"/>
          <w:b/>
          <w:bCs/>
          <w:color w:val="1F2A44"/>
          <w:sz w:val="36"/>
          <w:szCs w:val="36"/>
        </w:rPr>
        <w:t xml:space="preserve">Section 5 — Data Dictionary (Business Definitions)</w:t>
      </w:r>
    </w:p>
    <w:p>
      <w:pPr>
        <w:pBdr>
          <w:bottom w:val="single" w:color="3E8A8B" w:sz="6" w:space="1"/>
        </w:pBdr>
      </w:pPr>
      <w:r>
        <w:t xml:space="preserve"/>
      </w:r>
    </w:p>
    <w:p>
      <w:r>
        <w:t xml:space="preserve"/>
      </w:r>
    </w:p>
    <w:p>
      <w:pPr>
        <w:spacing w:after="120"/>
      </w:pPr>
      <w:r>
        <w:rPr>
          <w:rFonts w:ascii="Arial" w:cs="Arial" w:eastAsia="Arial" w:hAnsi="Arial"/>
          <w:sz w:val="22"/>
          <w:szCs w:val="22"/>
        </w:rPr>
        <w:t xml:space="preserve">All fields are sourced from the Snowflake table FUNDRAISING_DB.ANALYTICS.DONATIONS_RAW, exposed through the curated view VW_FUNDRAISING_DASHBOARD.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400"/>
        <w:gridCol w:w="2500"/>
        <w:gridCol w:w="2960"/>
      </w:tblGrid>
      <w:tr>
        <w:trPr>
          <w:tblHeader/>
        </w:trPr>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Name</w:t>
            </w:r>
          </w:p>
        </w:tc>
        <w:tc>
          <w:tcPr>
            <w:tcW w:type="dxa" w:w="9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 Type</w:t>
            </w:r>
          </w:p>
        </w:tc>
        <w:tc>
          <w:tcPr>
            <w:tcW w:type="dxa" w:w="1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c>
          <w:tcPr>
            <w:tcW w:type="dxa" w:w="2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Definition</w:t>
            </w:r>
          </w:p>
        </w:tc>
        <w:tc>
          <w:tcPr>
            <w:tcW w:type="dxa" w:w="29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 / Notes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Donation_ID</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TX0001</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for each donation transaction.</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Used for row-count validation and deduplication checks.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Donation_Date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2024-03-02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the donation was received.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all time-series analysis. Format: YYYY-MM-DD.</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Campaign_ID</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CAMP005</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for the fundraising campaign that drove the donation.</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Foreign key to Campaign dimension. Used for campaign-level aggregation.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Campaign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Women's History 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Human-readable name of the fundraising campaign.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label in dashboard. Maps 1:1 with Campaign_ID.</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Channel</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outreach channel through which the donor was engaged: Email, Social, Direct, or Event.</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channel performance analysis. Standardized set of four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Donor_ID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D1001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for the donor.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distinct donor counts, repeat donor logic, and lifetime value.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Email_ID</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E5001</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Identifier for the specific email communication sent to the donor.</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to track email open and click events at the individual level.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Geography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Two-letter U.S. state abbreviation for the donor's location.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geographic map visualization and state-level filtering.</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Donor_Segment</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classification: General (one-time or infrequent), Major (high-value), or Recurring (monthly giving).</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Drives segmentation analysis and revenue concentration views.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Donation_Amount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dollar value of the donation in USD.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revenue metric. Always aggregated; never used individually in dashboards.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Lifetime_Giving</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450</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Estimated total donation amount by this donor across all time.</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 average lifetime value KPI and major donor identification.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Donated_More_Than_Once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indicating whether this donor has made more than one donation in the dataset.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Yes/No string. Used to calculate Repeat Donor Rate.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Email_Opened</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Indicates whether the donor opened the campaign email associated with this donation row.</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Yes/No string. Used for Email Open Rate and funnel analysis.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Email_Clicked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Indicates whether the donor clicked a link inside the campaign email.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Yes/No string. Used for Email Click Rate and conversion funnel.</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Campaign_Cost</w:t>
            </w:r>
          </w:p>
        </w:tc>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Estimated total cost of the campaign. Note: this value repeats across all rows for the same campaign.</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be deduplicated in ROI calculations using FIXED LOD logic. See Section 7.</w:t>
            </w:r>
          </w:p>
        </w:tc>
      </w:tr>
    </w:tbl>
    <w:p>
      <w:r>
        <w:t xml:space="preserve"/>
      </w:r>
    </w:p>
    <w:p>
      <w:r>
        <w:br w:type="page"/>
      </w:r>
    </w:p>
    <w:p>
      <w:pPr>
        <w:pStyle w:val="Heading1"/>
      </w:pPr>
      <w:r>
        <w:rPr>
          <w:rFonts w:ascii="Arial" w:cs="Arial" w:eastAsia="Arial" w:hAnsi="Arial"/>
          <w:b/>
          <w:bCs/>
          <w:color w:val="1F2A44"/>
          <w:sz w:val="36"/>
          <w:szCs w:val="36"/>
        </w:rPr>
        <w:t xml:space="preserve">Section 6 — Derived Metrics &amp; KPI Definitions</w:t>
      </w:r>
    </w:p>
    <w:p>
      <w:pPr>
        <w:pBdr>
          <w:bottom w:val="single" w:color="3E8A8B" w:sz="6" w:space="1"/>
        </w:pBdr>
      </w:pPr>
      <w:r>
        <w:t xml:space="preserve"/>
      </w:r>
    </w:p>
    <w:p>
      <w:r>
        <w:t xml:space="preserve"/>
      </w:r>
    </w:p>
    <w:p>
      <w:pPr>
        <w:spacing w:after="120"/>
      </w:pPr>
      <w:r>
        <w:rPr>
          <w:rFonts w:ascii="Arial" w:cs="Arial" w:eastAsia="Arial" w:hAnsi="Arial"/>
          <w:sz w:val="22"/>
          <w:szCs w:val="22"/>
        </w:rPr>
        <w:t xml:space="preserve">The following metrics are computed from the raw fields defined in Section 5. Each metric includes its business definition, formula logic, data grain, display format, and the dashboard tab where it appears.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1000"/>
        <w:gridCol w:w="1160"/>
        <w:gridCol w:w="1800"/>
      </w:tblGrid>
      <w:tr>
        <w:trPr>
          <w:tblHeader/>
        </w:trPr>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 Name</w:t>
            </w:r>
          </w:p>
        </w:tc>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Definition</w:t>
            </w:r>
          </w:p>
        </w:tc>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Formula Logic</w:t>
            </w:r>
          </w:p>
        </w:tc>
        <w:tc>
          <w:tcPr>
            <w:tcW w:type="dxa" w:w="1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Grain</w:t>
            </w:r>
          </w:p>
        </w:tc>
        <w:tc>
          <w:tcPr>
            <w:tcW w:type="dxa" w:w="1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Format</w:t>
            </w:r>
          </w:p>
        </w:tc>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Dashboard Tab</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Total Donations</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of all Donation_Amount values for the selected filter context. Primary revenue health indicator.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SUM(Donation_Amount)</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Tabs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Donors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 of distinct Donor_IDs. Measures reach and breadth of engagement.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COUNTD(Donor_ID)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Tabs</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Average Gift Size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Mean donation amount per transaction. Indicates donor generosity and campaign targeting quality.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AVG(Donation_Amount)</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Tabs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Repeat Donor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donors who have donated more than once. Primary retention health indicator.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COUNTD(Donor_ID where Donated_More_Than_Once = 'Yes') / COUNTD(Donor_ID)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 Overview, Donor Intel</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Email Open Rate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email recipients who opened the campaign email.</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SUM(1 where Email_Opened='Yes') / COUNT(Email_ID)</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send</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 Click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email recipients who clicked a link in the campaign 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SUM(1 where Email_Clicked='Yes') / COUNT(Email_ID)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send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Email Conversion Rate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email openers who clicked through. Measures message effectiveness.</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SUM(1 where Email_Clicked='Yes') / SUM(1 where Email_Opened='Yes')</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send</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Campaign ROI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on campaign spend, net of cost. Uses deduplicated campaign cost to prevent row-level double-counting.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(SUM(Donation_Amount) - MAX(Campaign_Cost per Campaign)) / MAX(Campaign_Cost per Campaign)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Perf.</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Avg Lifetime Value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lifetime giving amount across all donors in the view. Indicates long-term donor worth.</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AVG(Lifetime_Giving)</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Intel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Major Donor Revenue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 of total revenue contributed by Major segment donors. Concentration risk indicator.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SUM(Donation_Amount where Segment='Major') / SUM(Donation_Amount)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Segment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Intel</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Outlier Flag</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Flags donations more than 2x the rolling average as outliers for coral highlighting.</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IF Donation_Amount &gt; WINDOW_AVG * 2 THEN 'Outlier' ELSE 'Normal'</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1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Tabs</w:t>
            </w:r>
          </w:p>
        </w:tc>
      </w:tr>
    </w:tbl>
    <w:p>
      <w:r>
        <w:t xml:space="preserve"/>
      </w:r>
    </w:p>
    <w:p>
      <w:r>
        <w:br w:type="page"/>
      </w:r>
    </w:p>
    <w:p>
      <w:pPr>
        <w:pStyle w:val="Heading1"/>
      </w:pPr>
      <w:r>
        <w:rPr>
          <w:rFonts w:ascii="Arial" w:cs="Arial" w:eastAsia="Arial" w:hAnsi="Arial"/>
          <w:b/>
          <w:bCs/>
          <w:color w:val="1F2A44"/>
          <w:sz w:val="36"/>
          <w:szCs w:val="36"/>
        </w:rPr>
        <w:t xml:space="preserve">Section 7 — Tableau Calculation Library</w:t>
      </w:r>
    </w:p>
    <w:p>
      <w:pPr>
        <w:pBdr>
          <w:bottom w:val="single" w:color="3E8A8B" w:sz="6" w:space="1"/>
        </w:pBdr>
      </w:pPr>
      <w:r>
        <w:t xml:space="preserve"/>
      </w:r>
    </w:p>
    <w:p>
      <w:r>
        <w:t xml:space="preserve"/>
      </w:r>
    </w:p>
    <w:p>
      <w:pPr>
        <w:spacing w:after="120"/>
      </w:pPr>
      <w:r>
        <w:rPr>
          <w:rFonts w:ascii="Arial" w:cs="Arial" w:eastAsia="Arial" w:hAnsi="Arial"/>
          <w:sz w:val="22"/>
          <w:szCs w:val="22"/>
        </w:rPr>
        <w:t xml:space="preserve">All calculated fields should be created in the Tableau workbook in the order listed. Fields marked with (*LOD) use Level of Detail expressions and must be validated against Snowflake SQL equivalents in QA.</w:t>
      </w:r>
    </w:p>
    <w:p>
      <w:r>
        <w:t xml:space="preserve"/>
      </w:r>
    </w:p>
    <w:p>
      <w:pPr>
        <w:pStyle w:val="Heading2"/>
      </w:pPr>
      <w:r>
        <w:rPr>
          <w:rFonts w:ascii="Arial" w:cs="Arial" w:eastAsia="Arial" w:hAnsi="Arial"/>
          <w:b/>
          <w:bCs/>
          <w:color w:val="3E8A8B"/>
          <w:sz w:val="28"/>
          <w:szCs w:val="28"/>
        </w:rPr>
        <w:t xml:space="preserve">7.1  Core Revenue Metrics</w:t>
      </w:r>
    </w:p>
    <w:p>
      <w:pPr>
        <w:pStyle w:val="Heading3"/>
      </w:pPr>
      <w:r>
        <w:rPr>
          <w:rFonts w:ascii="Arial" w:cs="Arial" w:eastAsia="Arial" w:hAnsi="Arial"/>
          <w:b/>
          <w:bCs/>
          <w:color w:val="1F2A44"/>
          <w:sz w:val="24"/>
          <w:szCs w:val="24"/>
        </w:rPr>
        <w:t xml:space="preserve">[Calc] Total Donations</w:t>
      </w:r>
    </w:p>
    <w:p>
      <w:pPr>
        <w:shd w:fill="F4F6F8" w:val="clear"/>
        <w:spacing w:after="120"/>
      </w:pPr>
      <w:r>
        <w:rPr>
          <w:rFonts w:ascii="Courier New" w:cs="Courier New" w:eastAsia="Courier New" w:hAnsi="Courier New"/>
          <w:sz w:val="20"/>
          <w:szCs w:val="20"/>
        </w:rPr>
        <w:t xml:space="preserve">SUM([Donation_Amount])</w:t>
      </w:r>
    </w:p>
    <w:p>
      <w:pPr>
        <w:spacing w:after="120"/>
      </w:pPr>
      <w:r>
        <w:rPr>
          <w:rFonts w:ascii="Arial" w:cs="Arial" w:eastAsia="Arial" w:hAnsi="Arial"/>
          <w:sz w:val="22"/>
          <w:szCs w:val="22"/>
        </w:rPr>
        <w:t xml:space="preserve">Returns: Total revenue for selected context. Appears in all KPI cards.</w:t>
      </w:r>
    </w:p>
    <w:p>
      <w:r>
        <w:t xml:space="preserve"/>
      </w:r>
    </w:p>
    <w:p>
      <w:pPr>
        <w:pStyle w:val="Heading3"/>
      </w:pPr>
      <w:r>
        <w:rPr>
          <w:rFonts w:ascii="Arial" w:cs="Arial" w:eastAsia="Arial" w:hAnsi="Arial"/>
          <w:b/>
          <w:bCs/>
          <w:color w:val="1F2A44"/>
          <w:sz w:val="24"/>
          <w:szCs w:val="24"/>
        </w:rPr>
        <w:t xml:space="preserve">[Calc] Total Donors</w:t>
      </w:r>
    </w:p>
    <w:p>
      <w:pPr>
        <w:shd w:fill="F4F6F8" w:val="clear"/>
        <w:spacing w:after="120"/>
      </w:pPr>
      <w:r>
        <w:rPr>
          <w:rFonts w:ascii="Courier New" w:cs="Courier New" w:eastAsia="Courier New" w:hAnsi="Courier New"/>
          <w:sz w:val="20"/>
          <w:szCs w:val="20"/>
        </w:rPr>
        <w:t xml:space="preserve">COUNTD([Donor_ID])</w:t>
      </w:r>
    </w:p>
    <w:p>
      <w:pPr>
        <w:spacing w:after="120"/>
      </w:pPr>
      <w:r>
        <w:rPr>
          <w:rFonts w:ascii="Arial" w:cs="Arial" w:eastAsia="Arial" w:hAnsi="Arial"/>
          <w:sz w:val="22"/>
          <w:szCs w:val="22"/>
        </w:rPr>
        <w:t xml:space="preserve">Returns: Count of unique donors. Basis for repeat donor rate denominator.</w:t>
      </w:r>
    </w:p>
    <w:p>
      <w:r>
        <w:t xml:space="preserve"/>
      </w:r>
    </w:p>
    <w:p>
      <w:pPr>
        <w:pStyle w:val="Heading3"/>
      </w:pPr>
      <w:r>
        <w:rPr>
          <w:rFonts w:ascii="Arial" w:cs="Arial" w:eastAsia="Arial" w:hAnsi="Arial"/>
          <w:b/>
          <w:bCs/>
          <w:color w:val="1F2A44"/>
          <w:sz w:val="24"/>
          <w:szCs w:val="24"/>
        </w:rPr>
        <w:t xml:space="preserve">[Calc] Average Gift</w:t>
      </w:r>
    </w:p>
    <w:p>
      <w:pPr>
        <w:shd w:fill="F4F6F8" w:val="clear"/>
        <w:spacing w:after="120"/>
      </w:pPr>
      <w:r>
        <w:rPr>
          <w:rFonts w:ascii="Courier New" w:cs="Courier New" w:eastAsia="Courier New" w:hAnsi="Courier New"/>
          <w:sz w:val="20"/>
          <w:szCs w:val="20"/>
        </w:rPr>
        <w:t xml:space="preserve">AVG([Donation_Amount])</w:t>
      </w:r>
    </w:p>
    <w:p>
      <w:pPr>
        <w:spacing w:after="120"/>
      </w:pPr>
      <w:r>
        <w:rPr>
          <w:rFonts w:ascii="Arial" w:cs="Arial" w:eastAsia="Arial" w:hAnsi="Arial"/>
          <w:sz w:val="22"/>
          <w:szCs w:val="22"/>
        </w:rPr>
        <w:t xml:space="preserve">Returns: Mean donation per transaction. Format as $###.</w:t>
      </w:r>
    </w:p>
    <w:p>
      <w:r>
        <w:t xml:space="preserve"/>
      </w:r>
    </w:p>
    <w:p>
      <w:pPr>
        <w:pStyle w:val="Heading2"/>
      </w:pPr>
      <w:r>
        <w:rPr>
          <w:rFonts w:ascii="Arial" w:cs="Arial" w:eastAsia="Arial" w:hAnsi="Arial"/>
          <w:b/>
          <w:bCs/>
          <w:color w:val="3E8A8B"/>
          <w:sz w:val="28"/>
          <w:szCs w:val="28"/>
        </w:rPr>
        <w:t xml:space="preserve">7.2  Donor Retention Metrics</w:t>
      </w:r>
    </w:p>
    <w:p>
      <w:pPr>
        <w:pStyle w:val="Heading3"/>
      </w:pPr>
      <w:r>
        <w:rPr>
          <w:rFonts w:ascii="Arial" w:cs="Arial" w:eastAsia="Arial" w:hAnsi="Arial"/>
          <w:b/>
          <w:bCs/>
          <w:color w:val="1F2A44"/>
          <w:sz w:val="24"/>
          <w:szCs w:val="24"/>
        </w:rPr>
        <w:t xml:space="preserve">[Calc] Repeat Donor Count</w:t>
      </w:r>
    </w:p>
    <w:p>
      <w:pPr>
        <w:shd w:fill="F4F6F8" w:val="clear"/>
        <w:spacing w:after="120"/>
      </w:pPr>
      <w:r>
        <w:rPr>
          <w:rFonts w:ascii="Courier New" w:cs="Courier New" w:eastAsia="Courier New" w:hAnsi="Courier New"/>
          <w:sz w:val="20"/>
          <w:szCs w:val="20"/>
        </w:rPr>
        <w:t xml:space="preserve">COUNTD(IF [Donated_More_Than_Once] = "Yes" THEN [Donor_ID] END)</w:t>
      </w:r>
    </w:p>
    <w:p>
      <w:r>
        <w:t xml:space="preserve"/>
      </w:r>
    </w:p>
    <w:p>
      <w:pPr>
        <w:pStyle w:val="Heading3"/>
      </w:pPr>
      <w:r>
        <w:rPr>
          <w:rFonts w:ascii="Arial" w:cs="Arial" w:eastAsia="Arial" w:hAnsi="Arial"/>
          <w:b/>
          <w:bCs/>
          <w:color w:val="1F2A44"/>
          <w:sz w:val="24"/>
          <w:szCs w:val="24"/>
        </w:rPr>
        <w:t xml:space="preserve">[Calc] Repeat Donor Rate</w:t>
      </w:r>
    </w:p>
    <w:p>
      <w:pPr>
        <w:shd w:fill="F4F6F8" w:val="clear"/>
        <w:spacing w:after="120"/>
      </w:pPr>
      <w:r>
        <w:rPr>
          <w:rFonts w:ascii="Courier New" w:cs="Courier New" w:eastAsia="Courier New" w:hAnsi="Courier New"/>
          <w:sz w:val="20"/>
          <w:szCs w:val="20"/>
        </w:rPr>
        <w:t xml:space="preserve">COUNTD(IF [Donated_More_Than_Once] = "Yes" THEN [Donor_ID] END)
/ COUNTD([Donor_ID])</w:t>
      </w:r>
    </w:p>
    <w:p>
      <w:pPr>
        <w:spacing w:after="120"/>
      </w:pPr>
      <w:r>
        <w:rPr>
          <w:rFonts w:ascii="Arial" w:cs="Arial" w:eastAsia="Arial" w:hAnsi="Arial"/>
          <w:sz w:val="22"/>
          <w:szCs w:val="22"/>
        </w:rPr>
        <w:t xml:space="preserve">Returns: Decimal percentage (format as 0.0%). Drives threshold KPI card color.</w:t>
      </w:r>
    </w:p>
    <w:p>
      <w:r>
        <w:t xml:space="preserve"/>
      </w:r>
    </w:p>
    <w:p>
      <w:pPr>
        <w:pStyle w:val="Heading2"/>
      </w:pPr>
      <w:r>
        <w:rPr>
          <w:rFonts w:ascii="Arial" w:cs="Arial" w:eastAsia="Arial" w:hAnsi="Arial"/>
          <w:b/>
          <w:bCs/>
          <w:color w:val="3E8A8B"/>
          <w:sz w:val="28"/>
          <w:szCs w:val="28"/>
        </w:rPr>
        <w:t xml:space="preserve">7.3  Email Engagement Metrics</w:t>
      </w:r>
    </w:p>
    <w:p>
      <w:pPr>
        <w:pStyle w:val="Heading3"/>
      </w:pPr>
      <w:r>
        <w:rPr>
          <w:rFonts w:ascii="Arial" w:cs="Arial" w:eastAsia="Arial" w:hAnsi="Arial"/>
          <w:b/>
          <w:bCs/>
          <w:color w:val="1F2A44"/>
          <w:sz w:val="24"/>
          <w:szCs w:val="24"/>
        </w:rPr>
        <w:t xml:space="preserve">[Calc] Email Open Rate</w:t>
      </w:r>
    </w:p>
    <w:p>
      <w:pPr>
        <w:shd w:fill="F4F6F8" w:val="clear"/>
        <w:spacing w:after="120"/>
      </w:pPr>
      <w:r>
        <w:rPr>
          <w:rFonts w:ascii="Courier New" w:cs="Courier New" w:eastAsia="Courier New" w:hAnsi="Courier New"/>
          <w:sz w:val="20"/>
          <w:szCs w:val="20"/>
        </w:rPr>
        <w:t xml:space="preserve">SUM(IF [Email_Opened] = "Yes" THEN 1 ELSE 0 END)
/ COUNT([Email_ID])</w:t>
      </w:r>
    </w:p>
    <w:p>
      <w:r>
        <w:t xml:space="preserve"/>
      </w:r>
    </w:p>
    <w:p>
      <w:pPr>
        <w:pStyle w:val="Heading3"/>
      </w:pPr>
      <w:r>
        <w:rPr>
          <w:rFonts w:ascii="Arial" w:cs="Arial" w:eastAsia="Arial" w:hAnsi="Arial"/>
          <w:b/>
          <w:bCs/>
          <w:color w:val="1F2A44"/>
          <w:sz w:val="24"/>
          <w:szCs w:val="24"/>
        </w:rPr>
        <w:t xml:space="preserve">[Calc] Email Click Rate</w:t>
      </w:r>
    </w:p>
    <w:p>
      <w:pPr>
        <w:shd w:fill="F4F6F8" w:val="clear"/>
        <w:spacing w:after="120"/>
      </w:pPr>
      <w:r>
        <w:rPr>
          <w:rFonts w:ascii="Courier New" w:cs="Courier New" w:eastAsia="Courier New" w:hAnsi="Courier New"/>
          <w:sz w:val="20"/>
          <w:szCs w:val="20"/>
        </w:rPr>
        <w:t xml:space="preserve">SUM(IF [Email_Clicked] = "Yes" THEN 1 ELSE 0 END)
/ COUNT([Email_ID])</w:t>
      </w:r>
    </w:p>
    <w:p>
      <w:r>
        <w:t xml:space="preserve"/>
      </w:r>
    </w:p>
    <w:p>
      <w:pPr>
        <w:pStyle w:val="Heading3"/>
      </w:pPr>
      <w:r>
        <w:rPr>
          <w:rFonts w:ascii="Arial" w:cs="Arial" w:eastAsia="Arial" w:hAnsi="Arial"/>
          <w:b/>
          <w:bCs/>
          <w:color w:val="1F2A44"/>
          <w:sz w:val="24"/>
          <w:szCs w:val="24"/>
        </w:rPr>
        <w:t xml:space="preserve">[Calc] Email Conversion Rate</w:t>
      </w:r>
    </w:p>
    <w:p>
      <w:pPr>
        <w:shd w:fill="F4F6F8" w:val="clear"/>
        <w:spacing w:after="120"/>
      </w:pPr>
      <w:r>
        <w:rPr>
          <w:rFonts w:ascii="Courier New" w:cs="Courier New" w:eastAsia="Courier New" w:hAnsi="Courier New"/>
          <w:sz w:val="20"/>
          <w:szCs w:val="20"/>
        </w:rPr>
        <w:t xml:space="preserve">SUM(IF [Email_Clicked] = "Yes" THEN 1 ELSE 0 END)
/ SUM(IF [Email_Opened] = "Yes" THEN 1 ELSE 0 END)</w:t>
      </w:r>
    </w:p>
    <w:p>
      <w:pPr>
        <w:spacing w:after="120"/>
      </w:pPr>
      <w:r>
        <w:rPr>
          <w:rFonts w:ascii="Arial" w:cs="Arial" w:eastAsia="Arial" w:hAnsi="Arial"/>
          <w:sz w:val="22"/>
          <w:szCs w:val="22"/>
        </w:rPr>
        <w:t xml:space="preserve">Caution: Use ZEROIFNULL wrapper if Email_Opened count could be zero to prevent divide-by-zero.</w:t>
      </w:r>
    </w:p>
    <w:p>
      <w:r>
        <w:t xml:space="preserve"/>
      </w:r>
    </w:p>
    <w:p>
      <w:pPr>
        <w:pStyle w:val="Heading2"/>
      </w:pPr>
      <w:r>
        <w:rPr>
          <w:rFonts w:ascii="Arial" w:cs="Arial" w:eastAsia="Arial" w:hAnsi="Arial"/>
          <w:b/>
          <w:bCs/>
          <w:color w:val="3E8A8B"/>
          <w:sz w:val="28"/>
          <w:szCs w:val="28"/>
        </w:rPr>
        <w:t xml:space="preserve">7.4  Campaign ROI (*LOD)</w:t>
      </w:r>
    </w:p>
    <w:p>
      <w:pPr>
        <w:pStyle w:val="Heading3"/>
      </w:pPr>
      <w:r>
        <w:rPr>
          <w:rFonts w:ascii="Arial" w:cs="Arial" w:eastAsia="Arial" w:hAnsi="Arial"/>
          <w:b/>
          <w:bCs/>
          <w:color w:val="1F2A44"/>
          <w:sz w:val="24"/>
          <w:szCs w:val="24"/>
        </w:rPr>
        <w:t xml:space="preserve">[Calc] Campaign Cost (Deduplicated)</w:t>
      </w:r>
    </w:p>
    <w:p>
      <w:pPr>
        <w:shd w:fill="F4F6F8" w:val="clear"/>
        <w:spacing w:after="120"/>
      </w:pPr>
      <w:r>
        <w:rPr>
          <w:rFonts w:ascii="Courier New" w:cs="Courier New" w:eastAsia="Courier New" w:hAnsi="Courier New"/>
          <w:sz w:val="20"/>
          <w:szCs w:val="20"/>
        </w:rPr>
        <w:t xml:space="preserve">{FIXED [Campaign_ID] : MAX([Campaign_Cost])}</w:t>
      </w:r>
    </w:p>
    <w:p>
      <w:pPr>
        <w:spacing w:after="120"/>
      </w:pPr>
      <w:r>
        <w:rPr>
          <w:rFonts w:ascii="Arial" w:cs="Arial" w:eastAsia="Arial" w:hAnsi="Arial"/>
          <w:sz w:val="22"/>
          <w:szCs w:val="22"/>
        </w:rPr>
        <w:t xml:space="preserve">Critical: Campaign_Cost repeats across all rows for a campaign. This LOD ensures cost is counted only once per campaign regardless of row context.</w:t>
      </w:r>
    </w:p>
    <w:p>
      <w:r>
        <w:t xml:space="preserve"/>
      </w:r>
    </w:p>
    <w:p>
      <w:pPr>
        <w:pStyle w:val="Heading3"/>
      </w:pPr>
      <w:r>
        <w:rPr>
          <w:rFonts w:ascii="Arial" w:cs="Arial" w:eastAsia="Arial" w:hAnsi="Arial"/>
          <w:b/>
          <w:bCs/>
          <w:color w:val="1F2A44"/>
          <w:sz w:val="24"/>
          <w:szCs w:val="24"/>
        </w:rPr>
        <w:t xml:space="preserve">[Calc] Campaign ROI</w:t>
      </w:r>
    </w:p>
    <w:p>
      <w:pPr>
        <w:shd w:fill="F4F6F8" w:val="clear"/>
        <w:spacing w:after="120"/>
      </w:pPr>
      <w:r>
        <w:rPr>
          <w:rFonts w:ascii="Courier New" w:cs="Courier New" w:eastAsia="Courier New" w:hAnsi="Courier New"/>
          <w:sz w:val="20"/>
          <w:szCs w:val="20"/>
        </w:rPr>
        <w:t xml:space="preserve">(SUM([Donation_Amount]) - SUM([Campaign Cost (Deduplicated)]))
/ SUM([Campaign Cost (Deduplicated)])</w:t>
      </w:r>
    </w:p>
    <w:p>
      <w:pPr>
        <w:spacing w:after="120"/>
      </w:pPr>
      <w:r>
        <w:rPr>
          <w:rFonts w:ascii="Arial" w:cs="Arial" w:eastAsia="Arial" w:hAnsi="Arial"/>
          <w:sz w:val="22"/>
          <w:szCs w:val="22"/>
        </w:rPr>
        <w:t xml:space="preserve">Returns: Multiplier (format as 0.0x). ROI = 1.0x means break-even. ROI &gt; 2.0x is healthy per industry benchmark.</w:t>
      </w:r>
    </w:p>
    <w:p>
      <w:r>
        <w:t xml:space="preserve"/>
      </w:r>
    </w:p>
    <w:p>
      <w:pPr>
        <w:pStyle w:val="Heading2"/>
      </w:pPr>
      <w:r>
        <w:rPr>
          <w:rFonts w:ascii="Arial" w:cs="Arial" w:eastAsia="Arial" w:hAnsi="Arial"/>
          <w:b/>
          <w:bCs/>
          <w:color w:val="3E8A8B"/>
          <w:sz w:val="28"/>
          <w:szCs w:val="28"/>
        </w:rPr>
        <w:t xml:space="preserve">7.5  Threshold Status Fields</w:t>
      </w:r>
    </w:p>
    <w:p>
      <w:pPr>
        <w:pStyle w:val="Heading3"/>
      </w:pPr>
      <w:r>
        <w:rPr>
          <w:rFonts w:ascii="Arial" w:cs="Arial" w:eastAsia="Arial" w:hAnsi="Arial"/>
          <w:b/>
          <w:bCs/>
          <w:color w:val="1F2A44"/>
          <w:sz w:val="24"/>
          <w:szCs w:val="24"/>
        </w:rPr>
        <w:t xml:space="preserve">[Calc] Retention Status</w:t>
      </w:r>
    </w:p>
    <w:p>
      <w:pPr>
        <w:shd w:fill="F4F6F8" w:val="clear"/>
        <w:spacing w:after="120"/>
      </w:pPr>
      <w:r>
        <w:rPr>
          <w:rFonts w:ascii="Courier New" w:cs="Courier New" w:eastAsia="Courier New" w:hAnsi="Courier New"/>
          <w:sz w:val="20"/>
          <w:szCs w:val="20"/>
        </w:rPr>
        <w:t xml:space="preserve">IF [Repeat Donor Rate] &lt;= [Retention Critical Threshold]
   THEN "Critical"
ELSEIF [Repeat Donor Rate] &lt;= [Retention Warning Threshold]
   THEN "Warning"
ELSEIF [Repeat Donor Rate] &lt;= [Retention Watch Threshold]
   THEN "Watch"
ELSE "Stable"
END</w:t>
      </w:r>
    </w:p>
    <w:p>
      <w:pPr>
        <w:spacing w:after="120"/>
      </w:pPr>
      <w:r>
        <w:rPr>
          <w:rFonts w:ascii="Arial" w:cs="Arial" w:eastAsia="Arial" w:hAnsi="Arial"/>
          <w:sz w:val="22"/>
          <w:szCs w:val="22"/>
        </w:rPr>
        <w:t xml:space="preserve">Thresholds are stored as parameters so stakeholders can adjust them without developer involvement.</w:t>
      </w:r>
    </w:p>
    <w:p>
      <w:r>
        <w:t xml:space="preserve"/>
      </w:r>
    </w:p>
    <w:p>
      <w:pPr>
        <w:pStyle w:val="Heading3"/>
      </w:pPr>
      <w:r>
        <w:rPr>
          <w:rFonts w:ascii="Arial" w:cs="Arial" w:eastAsia="Arial" w:hAnsi="Arial"/>
          <w:b/>
          <w:bCs/>
          <w:color w:val="1F2A44"/>
          <w:sz w:val="24"/>
          <w:szCs w:val="24"/>
        </w:rPr>
        <w:t xml:space="preserve">[Calc] KPI Status Color (reusable pattern)</w:t>
      </w:r>
    </w:p>
    <w:p>
      <w:pPr>
        <w:shd w:fill="F4F6F8" w:val="clear"/>
        <w:spacing w:after="120"/>
      </w:pPr>
      <w:r>
        <w:rPr>
          <w:rFonts w:ascii="Courier New" w:cs="Courier New" w:eastAsia="Courier New" w:hAnsi="Courier New"/>
          <w:sz w:val="20"/>
          <w:szCs w:val="20"/>
        </w:rPr>
        <w:t xml:space="preserve">// Apply to KPI card via color mark shelf
// Stable  -&gt; #1F2A44 (Navy)
// Watch   -&gt; #C49A3A (Gold)
// Warning -&gt; #E86A5A (Coral)
// Critical-&gt; #B83A2A (Dark Coral)</w:t>
      </w:r>
    </w:p>
    <w:p>
      <w:r>
        <w:t xml:space="preserve"/>
      </w:r>
    </w:p>
    <w:p>
      <w:pPr>
        <w:pStyle w:val="Heading2"/>
      </w:pPr>
      <w:r>
        <w:rPr>
          <w:rFonts w:ascii="Arial" w:cs="Arial" w:eastAsia="Arial" w:hAnsi="Arial"/>
          <w:b/>
          <w:bCs/>
          <w:color w:val="3E8A8B"/>
          <w:sz w:val="28"/>
          <w:szCs w:val="28"/>
        </w:rPr>
        <w:t xml:space="preserve">7.6  Outlier Detection</w:t>
      </w:r>
    </w:p>
    <w:p>
      <w:pPr>
        <w:pStyle w:val="Heading3"/>
      </w:pPr>
      <w:r>
        <w:rPr>
          <w:rFonts w:ascii="Arial" w:cs="Arial" w:eastAsia="Arial" w:hAnsi="Arial"/>
          <w:b/>
          <w:bCs/>
          <w:color w:val="1F2A44"/>
          <w:sz w:val="24"/>
          <w:szCs w:val="24"/>
        </w:rPr>
        <w:t xml:space="preserve">[Calc] Outlier Flag</w:t>
      </w:r>
    </w:p>
    <w:p>
      <w:pPr>
        <w:shd w:fill="F4F6F8" w:val="clear"/>
        <w:spacing w:after="120"/>
      </w:pPr>
      <w:r>
        <w:rPr>
          <w:rFonts w:ascii="Courier New" w:cs="Courier New" w:eastAsia="Courier New" w:hAnsi="Courier New"/>
          <w:sz w:val="20"/>
          <w:szCs w:val="20"/>
        </w:rPr>
        <w:t xml:space="preserve">IF [Donation_Amount] &gt; WINDOW_AVG(SUM([Donation_Amount])) * 2
THEN "Outlier"
ELSE "Normal"
END</w:t>
      </w:r>
    </w:p>
    <w:p>
      <w:pPr>
        <w:spacing w:after="120"/>
      </w:pPr>
      <w:r>
        <w:rPr>
          <w:rFonts w:ascii="Arial" w:cs="Arial" w:eastAsia="Arial" w:hAnsi="Arial"/>
          <w:sz w:val="22"/>
          <w:szCs w:val="22"/>
        </w:rPr>
        <w:t xml:space="preserve">Use Coral (#E86A5A) for outlier marks. Outlier flag is reserved exclusively for genuine anomalies — not general emphasis.</w:t>
      </w:r>
    </w:p>
    <w:p>
      <w:r>
        <w:t xml:space="preserve"/>
      </w:r>
    </w:p>
    <w:p>
      <w:r>
        <w:br w:type="page"/>
      </w:r>
    </w:p>
    <w:p>
      <w:pPr>
        <w:pStyle w:val="Heading1"/>
      </w:pPr>
      <w:r>
        <w:rPr>
          <w:rFonts w:ascii="Arial" w:cs="Arial" w:eastAsia="Arial" w:hAnsi="Arial"/>
          <w:b/>
          <w:bCs/>
          <w:color w:val="1F2A44"/>
          <w:sz w:val="36"/>
          <w:szCs w:val="36"/>
        </w:rPr>
        <w:t xml:space="preserve">Section 8 — Visualization Spec &amp; Threshold Design</w:t>
      </w:r>
    </w:p>
    <w:p>
      <w:pPr>
        <w:pBdr>
          <w:bottom w:val="single" w:color="3E8A8B" w:sz="6" w:space="1"/>
        </w:pBdr>
      </w:pPr>
      <w:r>
        <w:t xml:space="preserve"/>
      </w:r>
    </w:p>
    <w:p>
      <w:r>
        <w:t xml:space="preserve"/>
      </w:r>
    </w:p>
    <w:p>
      <w:pPr>
        <w:pStyle w:val="Heading2"/>
      </w:pPr>
      <w:r>
        <w:rPr>
          <w:rFonts w:ascii="Arial" w:cs="Arial" w:eastAsia="Arial" w:hAnsi="Arial"/>
          <w:b/>
          <w:bCs/>
          <w:color w:val="3E8A8B"/>
          <w:sz w:val="28"/>
          <w:szCs w:val="28"/>
        </w:rPr>
        <w:t xml:space="preserve">8.1  Skye Visual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60"/>
        <w:gridCol w:w="4000"/>
      </w:tblGrid>
      <w:tr>
        <w:trPr>
          <w:tblHeader/>
        </w:trPr>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Element</w:t>
            </w:r>
          </w:p>
        </w:tc>
        <w:tc>
          <w:tcPr>
            <w:tcW w:type="dxa" w:w="1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2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Hex</w:t>
            </w:r>
          </w:p>
        </w:tc>
        <w:tc>
          <w:tcPr>
            <w:tcW w:type="dxa" w:w="4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Primary Brand</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Navy</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#1F2A44</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Baseline metrics, logo, chart fill for stable performance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Secondary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Slate Blue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#4B6A88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data series, supporting charts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Neutral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Cool Gray</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#6E7681</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Labels, axes, disabled states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Background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White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#F4F6F8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backgrounds, card fills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Accent – Watch</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 Gold</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#C49A3A</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Watch state — early signal, monitor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Accent – Warning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Signal Coral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#E86A5A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Warning state — issue requires attention; outlier highlights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Accent – Critical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Dark Coral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#B83A2A</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Critical state — immediate action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Accent – Positive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Civic Green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#2E7D63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 indicators, positive performance, success states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Accent – Teal</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 Teal</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#3E8A8B</w:t>
            </w:r>
          </w:p>
        </w:tc>
        <w:tc>
          <w:tcPr>
            <w:tcW w:type="dxa" w:w="4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accents, product branding</w:t>
            </w:r>
          </w:p>
        </w:tc>
      </w:tr>
    </w:tbl>
    <w:p>
      <w:r>
        <w:t xml:space="preserve"/>
      </w:r>
    </w:p>
    <w:p>
      <w:pPr>
        <w:pStyle w:val="Heading2"/>
      </w:pPr>
      <w:r>
        <w:rPr>
          <w:rFonts w:ascii="Arial" w:cs="Arial" w:eastAsia="Arial" w:hAnsi="Arial"/>
          <w:b/>
          <w:bCs/>
          <w:color w:val="3E8A8B"/>
          <w:sz w:val="28"/>
          <w:szCs w:val="28"/>
        </w:rPr>
        <w:t xml:space="preserve">8.2  KPI Threshold Matrix</w:t>
      </w:r>
    </w:p>
    <w:p>
      <w:pPr>
        <w:spacing w:after="120"/>
      </w:pPr>
      <w:r>
        <w:rPr>
          <w:rFonts w:ascii="Arial" w:cs="Arial" w:eastAsia="Arial" w:hAnsi="Arial"/>
          <w:sz w:val="22"/>
          <w:szCs w:val="22"/>
        </w:rPr>
        <w:t xml:space="preserve">Thresholds below represent industry-benchmark starting points. All values must be confirmed in the Threshold Definition Workshop and recorded in the Excel Threshold Matrix (see companion workbook).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1200"/>
        <w:gridCol w:w="1260"/>
        <w:gridCol w:w="1000"/>
        <w:gridCol w:w="2000"/>
      </w:tblGrid>
      <w:tr>
        <w:trPr>
          <w:tblHeader/>
        </w:trPr>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11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Industry Baseline</w:t>
            </w:r>
          </w:p>
        </w:tc>
        <w:tc>
          <w:tcPr>
            <w:tcW w:type="dxa" w:w="1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Watch (Gold)</w:t>
            </w:r>
          </w:p>
        </w:tc>
        <w:tc>
          <w:tcPr>
            <w:tcW w:type="dxa" w:w="1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Warning (Coral)</w:t>
            </w:r>
          </w:p>
        </w:tc>
        <w:tc>
          <w:tcPr>
            <w:tcW w:type="dxa" w:w="12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Critical (Dark Coral)</w:t>
            </w:r>
          </w:p>
        </w:tc>
        <w:tc>
          <w:tcPr>
            <w:tcW w:type="dxa" w:w="1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Direction</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 at Critical</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Repeat Donor Rate</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40–65%</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-0.5 pt change</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 pt change</w:t>
            </w:r>
          </w:p>
        </w:tc>
        <w:tc>
          <w:tcPr>
            <w:tcW w:type="dxa" w:w="1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 pt change</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Better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 retention campaign; target inactive 60–90 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 Open Rate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Better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subject lines, list hygiene, send time</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Email Click Rate</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w:t>
            </w:r>
          </w:p>
        </w:tc>
        <w:tc>
          <w:tcPr>
            <w:tcW w:type="dxa" w:w="1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Better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Revise CTA, test email layout, review offer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 Conversion Rate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Better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 test landing page, simplify donation form</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Campaign ROI</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2–4x</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2x</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1.5x</w:t>
            </w:r>
          </w:p>
        </w:tc>
        <w:tc>
          <w:tcPr>
            <w:tcW w:type="dxa" w:w="1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1x</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Better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 campaign; reallocate budget to top performers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Donor Growth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5–10% YoY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Better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 acquisition campaign; review channel mix</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Major Donor Concentration</w:t>
            </w:r>
          </w:p>
        </w:tc>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&gt; 60%</w:t>
            </w:r>
          </w:p>
        </w:tc>
        <w:tc>
          <w:tcPr>
            <w:tcW w:type="dxa" w:w="1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&gt; 65%</w:t>
            </w:r>
          </w:p>
        </w:tc>
        <w:tc>
          <w:tcPr>
            <w:tcW w:type="dxa" w:w="12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70%</w:t>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 = Better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Diversify pipeline; steward mid-tier donors for upgrade</w:t>
            </w:r>
          </w:p>
        </w:tc>
      </w:tr>
    </w:tbl>
    <w:p>
      <w:r>
        <w:t xml:space="preserve"/>
      </w:r>
    </w:p>
    <w:p>
      <w:pPr>
        <w:pStyle w:val="Heading2"/>
      </w:pPr>
      <w:r>
        <w:rPr>
          <w:rFonts w:ascii="Arial" w:cs="Arial" w:eastAsia="Arial" w:hAnsi="Arial"/>
          <w:b/>
          <w:bCs/>
          <w:color w:val="3E8A8B"/>
          <w:sz w:val="28"/>
          <w:szCs w:val="28"/>
        </w:rPr>
        <w:t xml:space="preserve">8.3  KPI Card Design Specification</w:t>
      </w:r>
    </w:p>
    <w:p>
      <w:pPr>
        <w:spacing w:after="120"/>
      </w:pPr>
      <w:r>
        <w:rPr>
          <w:rFonts w:ascii="Arial" w:cs="Arial" w:eastAsia="Arial" w:hAnsi="Arial"/>
          <w:sz w:val="22"/>
          <w:szCs w:val="22"/>
        </w:rPr>
        <w:t xml:space="preserve">Each KPI card must display: (1) Metric Name, (2) Current Value, (3) Change vs. prior period, (4) Industry Benchmark, (5) Threshold Status label, (6) Estimated Dollar Impact if applicable.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Metric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 Arial 14pt, Navy</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Current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 Arial 28pt, dynamic color by threshold status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Change Indicator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 pts/%, Arial 12pt: Green (up), Coral (down)</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Benchmark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Italic, Arial 10pt, Gray — 'Industry: 50–65%'</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Status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Stable / Watch / Warning / Critical — colored fill</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Dollar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Arial 11pt, Coral if negative — 'Est. ~$45K impact'</w:t>
            </w:r>
          </w:p>
        </w:tc>
      </w:tr>
    </w:tbl>
    <w:p>
      <w:r>
        <w:t xml:space="preserve"/>
      </w:r>
    </w:p>
    <w:p>
      <w:pPr>
        <w:pStyle w:val="Heading2"/>
      </w:pPr>
      <w:r>
        <w:rPr>
          <w:rFonts w:ascii="Arial" w:cs="Arial" w:eastAsia="Arial" w:hAnsi="Arial"/>
          <w:b/>
          <w:bCs/>
          <w:color w:val="3E8A8B"/>
          <w:sz w:val="28"/>
          <w:szCs w:val="28"/>
        </w:rPr>
        <w:t xml:space="preserve">8.4  Chart Type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Chart Type</w:t>
            </w:r>
          </w:p>
        </w:tc>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For</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Color Rule</w:t>
            </w:r>
          </w:p>
        </w:tc>
        <w:tc>
          <w:tcPr>
            <w:tcW w:type="dxa" w:w="37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Avoid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KPI Card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metric summary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 status color</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Decorative icons, gauge meters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Line Chart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Trends over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Navy primary, Slate Blue secondary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3D effects, dual Y-axis unless clearly labeled</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Bar Chart (Horizontal)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Rankings / comparisons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Navy; Coral for below-threshold</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Pie charts for same 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Bar Chart (Grouped)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Side-by-side comparisons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Navy + Gold pairing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Stacked when totals are not meaningful</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Funnel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engagement flow</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Navy → Teal → Gold → Coral</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Exploded funnels, 3D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Filled 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Geographic 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Blue-green gradient (light = low, dark = 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Bubble maps for state data</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Scatter Plot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Outlier detection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Navy normal, Coral outliers</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Overplotted without jitter or transparency</w:t>
            </w:r>
          </w:p>
        </w:tc>
      </w:tr>
    </w:tbl>
    <w:p>
      <w:r>
        <w:t xml:space="preserve"/>
      </w:r>
    </w:p>
    <w:p>
      <w:r>
        <w:br w:type="page"/>
      </w:r>
    </w:p>
    <w:p>
      <w:pPr>
        <w:pStyle w:val="Heading1"/>
      </w:pPr>
      <w:r>
        <w:rPr>
          <w:rFonts w:ascii="Arial" w:cs="Arial" w:eastAsia="Arial" w:hAnsi="Arial"/>
          <w:b/>
          <w:bCs/>
          <w:color w:val="1F2A44"/>
          <w:sz w:val="36"/>
          <w:szCs w:val="36"/>
        </w:rPr>
        <w:t xml:space="preserve">Section 9 — Data Architecture &amp; Snowflake → Tableau Logic</w:t>
      </w:r>
    </w:p>
    <w:p>
      <w:pPr>
        <w:pBdr>
          <w:bottom w:val="single" w:color="3E8A8B" w:sz="6" w:space="1"/>
        </w:pBdr>
      </w:pPr>
      <w:r>
        <w:t xml:space="preserve"/>
      </w:r>
    </w:p>
    <w:p>
      <w:r>
        <w:t xml:space="preserve"/>
      </w:r>
    </w:p>
    <w:p>
      <w:pPr>
        <w:pStyle w:val="Heading2"/>
      </w:pPr>
      <w:r>
        <w:rPr>
          <w:rFonts w:ascii="Arial" w:cs="Arial" w:eastAsia="Arial" w:hAnsi="Arial"/>
          <w:b/>
          <w:bCs/>
          <w:color w:val="3E8A8B"/>
          <w:sz w:val="28"/>
          <w:szCs w:val="28"/>
        </w:rPr>
        <w:t xml:space="preserve">9.1  Architecture Flow</w:t>
      </w:r>
    </w:p>
    <w:p>
      <w:pPr>
        <w:spacing w:after="120"/>
      </w:pPr>
      <w:r>
        <w:rPr>
          <w:rFonts w:ascii="Arial" w:cs="Arial" w:eastAsia="Arial" w:hAnsi="Arial"/>
          <w:sz w:val="22"/>
          <w:szCs w:val="22"/>
        </w:rPr>
        <w:t xml:space="preserve">Source CSV / Operational Data  →  Snowflake Raw Table (DONATIONS_RAW)  →  Snowflake Analytics View (VW_FUNDRAISING_DASHBOARD)  →  Exported CSV Extract  →  Tableau Public Workbook  →  Published Dashboard</w:t>
      </w:r>
    </w:p>
    <w:p>
      <w:r>
        <w:t xml:space="preserve"/>
      </w:r>
    </w:p>
    <w:p>
      <w:pPr>
        <w:pStyle w:val="Heading2"/>
      </w:pPr>
      <w:r>
        <w:rPr>
          <w:rFonts w:ascii="Arial" w:cs="Arial" w:eastAsia="Arial" w:hAnsi="Arial"/>
          <w:b/>
          <w:bCs/>
          <w:color w:val="3E8A8B"/>
          <w:sz w:val="28"/>
          <w:szCs w:val="28"/>
        </w:rPr>
        <w:t xml:space="preserve">9.2  Snowflake Table Definition</w:t>
      </w:r>
    </w:p>
    <w:p>
      <w:pPr>
        <w:shd w:fill="F4F6F8" w:val="clear"/>
        <w:spacing w:after="120"/>
      </w:pPr>
      <w:r>
        <w:rPr>
          <w:rFonts w:ascii="Courier New" w:cs="Courier New" w:eastAsia="Courier New" w:hAnsi="Courier New"/>
          <w:sz w:val="18"/>
          <w:szCs w:val="18"/>
        </w:rPr>
        <w:t xml:space="preserve">CREATE TABLE FUNDRAISING_DB.ANALYTICS.DONATIONS_RAW (
    Donation_ID           STRING        NOT NULL,
    Donation_Date         DATE          NOT NULL,
    Campaign_ID           STRING        NOT NULL,
    Campaign              STRING,
    Channel               STRING,
    Donor_ID              STRING        NOT NULL,
    Email_ID              STRING,
    Geography             STRING,
    Donor_Segment         STRING,
    Donation_Amount       NUMBER(10,2)  NOT NULL,
    Lifetime_Giving       NUMBER(10,2),
    Donated_More_Than_Once STRING,
    Email_Opened          STRING,
    Email_Clicked         STRING,
    Campaign_Cost         NUMBER(10,2)
);</w:t>
      </w:r>
    </w:p>
    <w:p>
      <w:r>
        <w:t xml:space="preserve"/>
      </w:r>
    </w:p>
    <w:p>
      <w:pPr>
        <w:pStyle w:val="Heading2"/>
      </w:pPr>
      <w:r>
        <w:rPr>
          <w:rFonts w:ascii="Arial" w:cs="Arial" w:eastAsia="Arial" w:hAnsi="Arial"/>
          <w:b/>
          <w:bCs/>
          <w:color w:val="3E8A8B"/>
          <w:sz w:val="28"/>
          <w:szCs w:val="28"/>
        </w:rPr>
        <w:t xml:space="preserve">9.3  Analytics View Definition</w:t>
      </w:r>
    </w:p>
    <w:p>
      <w:pPr>
        <w:shd w:fill="F4F6F8" w:val="clear"/>
        <w:spacing w:after="120"/>
      </w:pPr>
      <w:r>
        <w:rPr>
          <w:rFonts w:ascii="Courier New" w:cs="Courier New" w:eastAsia="Courier New" w:hAnsi="Courier New"/>
          <w:sz w:val="18"/>
          <w:szCs w:val="18"/>
        </w:rPr>
        <w:t xml:space="preserve">CREATE OR REPLACE VIEW FUNDRAISING_DB.ANALYTICS.VW_FUNDRAISING_DASHBOARD AS
SELECT
    r.Donation_ID,
    r.Donation_Date,
    DATE_TRUNC('month', r.Donation_Date)          AS Donation_Month,
    r.Campaign_ID,
    r.Campaign,
    r.Channel,
    r.Donor_ID,
    r.Email_ID,
    r.Geography,
    r.Donor_Segment,
    r.Donation_Amount,
    r.Lifetime_Giving,
    r.Donated_More_Than_Once,
    r.Email_Opened,
    r.Email_Clicked,
    r.Campaign_Cost,
    MAX(r.Campaign_Cost) OVER (
        PARTITION BY r.Campaign_ID)               AS Campaign_Cost_Dedup
FROM FUNDRAISING_DB.ANALYTICS.DONATIONS_RAW r;</w:t>
      </w:r>
    </w:p>
    <w:p>
      <w:r>
        <w:t xml:space="preserve"/>
      </w:r>
    </w:p>
    <w:p>
      <w:pPr>
        <w:pStyle w:val="Heading2"/>
      </w:pPr>
      <w:r>
        <w:rPr>
          <w:rFonts w:ascii="Arial" w:cs="Arial" w:eastAsia="Arial" w:hAnsi="Arial"/>
          <w:b/>
          <w:bCs/>
          <w:color w:val="3E8A8B"/>
          <w:sz w:val="28"/>
          <w:szCs w:val="28"/>
        </w:rPr>
        <w:t xml:space="preserve">9.4  Validation SQL</w:t>
      </w:r>
    </w:p>
    <w:p>
      <w:pPr>
        <w:spacing w:after="120"/>
      </w:pPr>
      <w:r>
        <w:rPr>
          <w:rFonts w:ascii="Arial" w:cs="Arial" w:eastAsia="Arial" w:hAnsi="Arial"/>
          <w:sz w:val="22"/>
          <w:szCs w:val="22"/>
        </w:rPr>
        <w:t xml:space="preserve">Run these queries against the view before export to establish reconciliation baseline:</w:t>
      </w:r>
    </w:p>
    <w:p>
      <w:pPr>
        <w:shd w:fill="F4F6F8" w:val="clear"/>
        <w:spacing w:after="120"/>
      </w:pPr>
      <w:r>
        <w:rPr>
          <w:rFonts w:ascii="Courier New" w:cs="Courier New" w:eastAsia="Courier New" w:hAnsi="Courier New"/>
          <w:sz w:val="18"/>
          <w:szCs w:val="18"/>
        </w:rPr>
        <w:t xml:space="preserve">-- Row count
SELECT COUNT(*) AS total_rows FROM VW_FUNDRAISING_DASHBOARD;
-- Total donations
SELECT SUM(Donation_Amount) AS total_revenue FROM VW_FUNDRAISING_DASHBOARD;
-- Distinct donors
SELECT COUNT(DISTINCT Donor_ID) AS distinct_donors FROM VW_FUNDRAISING_DASHBOARD;
-- Campaign totals (must match Tableau)
SELECT Campaign, SUM(Donation_Amount) AS revenue
FROM VW_FUNDRAISING_DASHBOARD
GROUP BY Campaign ORDER BY revenue DESC;
-- Monthly totals
SELECT Donation_Month, SUM(Donation_Amount) AS monthly_revenue
FROM VW_FUNDRAISING_DASHBOARD
GROUP BY Donation_Month ORDER BY Donation_Month;</w:t>
      </w:r>
    </w:p>
    <w:p>
      <w:r>
        <w:t xml:space="preserve"/>
      </w:r>
    </w:p>
    <w:p>
      <w:r>
        <w:br w:type="page"/>
      </w:r>
    </w:p>
    <w:p>
      <w:pPr>
        <w:pStyle w:val="Heading1"/>
      </w:pPr>
      <w:r>
        <w:rPr>
          <w:rFonts w:ascii="Arial" w:cs="Arial" w:eastAsia="Arial" w:hAnsi="Arial"/>
          <w:b/>
          <w:bCs/>
          <w:color w:val="1F2A44"/>
          <w:sz w:val="36"/>
          <w:szCs w:val="36"/>
        </w:rPr>
        <w:t xml:space="preserve">Section 10 — QA, Technical Testing &amp; Stress Test</w:t>
      </w:r>
    </w:p>
    <w:p>
      <w:pPr>
        <w:pBdr>
          <w:bottom w:val="single" w:color="3E8A8B" w:sz="6" w:space="1"/>
        </w:pBdr>
      </w:pPr>
      <w:r>
        <w:t xml:space="preserve"/>
      </w:r>
    </w:p>
    <w:p>
      <w:r>
        <w:t xml:space="preserve"/>
      </w:r>
    </w:p>
    <w:p>
      <w:pPr>
        <w:pStyle w:val="Heading2"/>
      </w:pPr>
      <w:r>
        <w:rPr>
          <w:rFonts w:ascii="Arial" w:cs="Arial" w:eastAsia="Arial" w:hAnsi="Arial"/>
          <w:b/>
          <w:bCs/>
          <w:color w:val="3E8A8B"/>
          <w:sz w:val="28"/>
          <w:szCs w:val="28"/>
        </w:rPr>
        <w:t xml:space="preserve">10.1  Data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000"/>
        <w:gridCol w:w="2160"/>
        <w:gridCol w:w="1600"/>
        <w:gridCol w:w="600"/>
      </w:tblGrid>
      <w:tr>
        <w:trPr>
          <w:tblHeader/>
        </w:trPr>
        <w:tc>
          <w:tcPr>
            <w:tcW w:type="dxa" w:w="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Name</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Result</w:t>
            </w:r>
          </w:p>
        </w:tc>
        <w:tc>
          <w:tcPr>
            <w:tcW w:type="dxa" w:w="2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 Result</w:t>
            </w:r>
          </w:p>
        </w:tc>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DV-01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Count: Snowflake view vs. CSV export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counts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COUNT vs. file row count</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DV-02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Row Count: CSV export vs. Tableau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counts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Tableau row count mark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DV-03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Donations: Snowflake vs. Tableau</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SUM matches to $0.01</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SUM vs. Tableau grand total</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DV-04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Distinct Donor Count: Snowflake vs. Tableau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COUNTD matches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COUNTD vs. Tableau</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DV-05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Revenue: all 12 campaigns match</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campaign $ matches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Campaign-level comparison</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DV-06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Revenue: all 12 months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month $ matches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Month-level comparison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DV-07</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null Donation_ID rows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nulls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NULL check</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DV-08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duplicate Donation_IDs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 duplicates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GROUP BY / HAVING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DV-09</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Campaign_Cost_Dedup: one value per campaign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 expected cost</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spot check 3 campaigns</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DV-10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flags are 'Yes' or 'No'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unexpected values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DISTINCT check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t xml:space="preserve"/>
      </w:r>
    </w:p>
    <w:p>
      <w:pPr>
        <w:pStyle w:val="Heading2"/>
      </w:pPr>
      <w:r>
        <w:rPr>
          <w:rFonts w:ascii="Arial" w:cs="Arial" w:eastAsia="Arial" w:hAnsi="Arial"/>
          <w:b/>
          <w:bCs/>
          <w:color w:val="3E8A8B"/>
          <w:sz w:val="28"/>
          <w:szCs w:val="28"/>
        </w:rPr>
        <w:t xml:space="preserve">10.2  Calculation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200"/>
        <w:gridCol w:w="2160"/>
        <w:gridCol w:w="1600"/>
        <w:gridCol w:w="600"/>
      </w:tblGrid>
      <w:tr>
        <w:trPr>
          <w:tblHeader/>
        </w:trPr>
        <w:tc>
          <w:tcPr>
            <w:tcW w:type="dxa" w:w="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Calculation</w:t>
            </w:r>
          </w:p>
        </w:tc>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w:t>
            </w:r>
          </w:p>
        </w:tc>
        <w:tc>
          <w:tcPr>
            <w:tcW w:type="dxa" w:w="2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w:t>
            </w:r>
          </w:p>
        </w:tc>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Validated By</w:t>
            </w:r>
          </w:p>
        </w:tc>
        <w:tc>
          <w:tcPr>
            <w:tcW w:type="dxa" w:w="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CV-01</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 Donor Rate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Matches SQL COUNTD(WHERE flag='Yes')/COUNTD(Donor_ID)</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 + BA</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CV-02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Open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Matches SQL SUM(CASE WHEN Opened='Yes')/COUNT(Email_ID)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 + BA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CV-03</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Conversion Rate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Numerator: Clicked=Yes / Denominator: Opened=Yes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CV-04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ROI (top campaign)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check: (revenue - dedup cost) / dedup cost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CV-05</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ROI (break-even case)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ROI = 0.0x when revenue equals cost</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CV-06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Outlier 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Flags rows &gt; 2x window average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 spot check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CV-07</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KPI Status — Retention</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Watch/Warning/Critical fires at correct thresholds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QA tester</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CV-08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 parameters editable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Changing param updates all KPI card colors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tester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t xml:space="preserve"/>
      </w:r>
    </w:p>
    <w:p>
      <w:pPr>
        <w:pStyle w:val="Heading2"/>
      </w:pPr>
      <w:r>
        <w:rPr>
          <w:rFonts w:ascii="Arial" w:cs="Arial" w:eastAsia="Arial" w:hAnsi="Arial"/>
          <w:b/>
          <w:bCs/>
          <w:color w:val="3E8A8B"/>
          <w:sz w:val="28"/>
          <w:szCs w:val="28"/>
        </w:rPr>
        <w:t xml:space="preserve">10.3  Performance &amp; Stress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000"/>
        <w:gridCol w:w="2160"/>
        <w:gridCol w:w="1600"/>
        <w:gridCol w:w="600"/>
      </w:tblGrid>
      <w:tr>
        <w:trPr>
          <w:tblHeader/>
        </w:trPr>
        <w:tc>
          <w:tcPr>
            <w:tcW w:type="dxa" w:w="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 Criterion</w:t>
            </w:r>
          </w:p>
        </w:tc>
        <w:tc>
          <w:tcPr>
            <w:tcW w:type="dxa" w:w="21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w:t>
            </w:r>
          </w:p>
        </w:tc>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c>
          <w:tcPr>
            <w:tcW w:type="dxa" w:w="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w:t>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PT-01</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cold load time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 seconds</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 3 times, average</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PT-02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load after filter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3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Date, Campaign, Segment filters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PT-03</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filters applied simultaneously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error; renders &lt; 10 sec</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all 5 filters at once</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PT-04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Click action: Campaign bar → filter donor tab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data surfaces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Cross-tab action test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PT-05</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Scroll through 12 campaigns in bar chart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lag or visual corruption</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bar chart scroll</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PT-06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renders all 10 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states colored; no blank state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Geographic view check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PT-07</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renders on 1280×800 screen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horizontal scroll; no truncation</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Lower-res laptop simulation</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PT-08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Tooltip displays for all marks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Tooltip appears within 1 second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Hover test each chart type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t xml:space="preserve"/>
      </w:r>
    </w:p>
    <w:p>
      <w:pPr>
        <w:pStyle w:val="Heading2"/>
      </w:pPr>
      <w:r>
        <w:rPr>
          <w:rFonts w:ascii="Arial" w:cs="Arial" w:eastAsia="Arial" w:hAnsi="Arial"/>
          <w:b/>
          <w:bCs/>
          <w:color w:val="3E8A8B"/>
          <w:sz w:val="28"/>
          <w:szCs w:val="28"/>
        </w:rPr>
        <w:t xml:space="preserve">10.4  Accessibility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560"/>
        <w:gridCol w:w="2000"/>
        <w:gridCol w:w="600"/>
        <w:gridCol w:w="800"/>
      </w:tblGrid>
      <w:tr>
        <w:trPr>
          <w:tblHeader/>
        </w:trPr>
        <w:tc>
          <w:tcPr>
            <w:tcW w:type="dxa" w:w="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w:t>
            </w:r>
          </w:p>
        </w:tc>
        <w:tc>
          <w:tcPr>
            <w:tcW w:type="dxa" w:w="2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Standard</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W w:type="dxa" w:w="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w:t>
            </w:r>
          </w:p>
        </w:tc>
        <w:tc>
          <w:tcPr>
            <w:tcW w:type="dxa" w:w="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AC-01</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Navy on White contrast ratio</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WCAG AA (4.5:1 minimum)</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Contrast Checker</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Coral on White contrast ratio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WCAG AA (4.5:1 minimum)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Contrast Checker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AC-03</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Color not sole differentiator</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shown via color + label</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review</w:t>
            </w:r>
          </w:p>
        </w:tc>
        <w:tc>
          <w:tcPr>
            <w:tcW w:type="dxa" w:w="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Font size minimum 11pt in dashboard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text below 11pt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Visual inspection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t xml:space="preserve"/>
      </w:r>
    </w:p>
    <w:p>
      <w:r>
        <w:br w:type="page"/>
      </w:r>
    </w:p>
    <w:p>
      <w:pPr>
        <w:pStyle w:val="Heading1"/>
      </w:pPr>
      <w:r>
        <w:rPr>
          <w:rFonts w:ascii="Arial" w:cs="Arial" w:eastAsia="Arial" w:hAnsi="Arial"/>
          <w:b/>
          <w:bCs/>
          <w:color w:val="1F2A44"/>
          <w:sz w:val="36"/>
          <w:szCs w:val="36"/>
        </w:rPr>
        <w:t xml:space="preserve">Section 11 — User Acceptance Testing (UAT)</w:t>
      </w:r>
    </w:p>
    <w:p>
      <w:pPr>
        <w:pBdr>
          <w:bottom w:val="single" w:color="3E8A8B" w:sz="6" w:space="1"/>
        </w:pBdr>
      </w:pPr>
      <w:r>
        <w:t xml:space="preserve"/>
      </w:r>
    </w:p>
    <w:p>
      <w:r>
        <w:t xml:space="preserve"/>
      </w:r>
    </w:p>
    <w:p>
      <w:pPr>
        <w:spacing w:after="120"/>
      </w:pPr>
      <w:r>
        <w:rPr>
          <w:rFonts w:ascii="Arial" w:cs="Arial" w:eastAsia="Arial" w:hAnsi="Arial"/>
          <w:sz w:val="22"/>
          <w:szCs w:val="22"/>
        </w:rPr>
        <w:t xml:space="preserve">UAT is conducted by business stakeholders, not the development team. The goal is to confirm the dashboard answers the original business questions and supports the decisions users need to make.</w:t>
      </w:r>
    </w:p>
    <w:p>
      <w:r>
        <w:t xml:space="preserve"/>
      </w:r>
    </w:p>
    <w:p>
      <w:pPr>
        <w:pStyle w:val="Heading2"/>
      </w:pPr>
      <w:r>
        <w:rPr>
          <w:rFonts w:ascii="Arial" w:cs="Arial" w:eastAsia="Arial" w:hAnsi="Arial"/>
          <w:b/>
          <w:bCs/>
          <w:color w:val="3E8A8B"/>
          <w:sz w:val="28"/>
          <w:szCs w:val="28"/>
        </w:rPr>
        <w:t xml:space="preserve">11.1  UAT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60"/>
        <w:gridCol w:w="1800"/>
        <w:gridCol w:w="1500"/>
        <w:gridCol w:w="1000"/>
      </w:tblGrid>
      <w:tr>
        <w:trPr>
          <w:tblHeader/>
        </w:trPr>
        <w:tc>
          <w:tcPr>
            <w:tcW w:type="dxa" w:w="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Role</w:t>
            </w:r>
          </w:p>
        </w:tc>
        <w:tc>
          <w:tcPr>
            <w:tcW w:type="dxa" w:w="2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w:t>
            </w:r>
          </w:p>
        </w:tc>
        <w:tc>
          <w:tcPr>
            <w:tcW w:type="dxa" w:w="1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w:t>
            </w:r>
          </w:p>
        </w:tc>
        <w:tc>
          <w:tcPr>
            <w:tcW w:type="dxa" w:w="1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UAT-01</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Director</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Navigate to Executive Overview. Identify total donations and repeat donor rate status without any guidance.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finds both KPIs within 20 seconds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UAT-02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Executive Director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Determine whether retention requires action based on KPI card alone.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reads status badge correctly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UAT-03</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Fundraising Manager</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On Campaign Performance tab, identify the top-ROI campaign and the lowest-ROI campaign.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campaigns named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UAT-04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Fundraising Manager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'Email' channel filter. Confirm dashboard updates all charts.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charts reflect email-only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UAT-05</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Fundraising Manager</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Interpret the email funnel: identify where conversion drops most significantly.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 Click identified as biggest drop</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UAT-06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Director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Donor Intelligence tab, identify what percentage of revenue comes from Major donors.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reads segment chart or KPI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UAT-07</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Director</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the state with the highest donations from the geographic map.</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state named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UAT-08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Development Analyst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Explain what the coral-colored mark in the donor scatter means.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identifies it as an outlier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UAT-09</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User</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the insight panel on Executive Overview and state one recommended action.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reads a valid action step</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UAT-10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User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the date filter to view Q4 2024 only. Confirm all tabs update.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tabs reflect Q4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t xml:space="preserve"/>
      </w:r>
    </w:p>
    <w:p>
      <w:pPr>
        <w:pStyle w:val="Heading2"/>
      </w:pPr>
      <w:r>
        <w:rPr>
          <w:rFonts w:ascii="Arial" w:cs="Arial" w:eastAsia="Arial" w:hAnsi="Arial"/>
          <w:b/>
          <w:bCs/>
          <w:color w:val="3E8A8B"/>
          <w:sz w:val="28"/>
          <w:szCs w:val="28"/>
        </w:rPr>
        <w:t xml:space="preserve">11.2  UAT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UAT Conducted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Analyst (facilitator) + Nonprofit Stakeholders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UAT 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Public — published staging workbook</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Acceptance Criteria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of 10 scenarios pass without developer assistance; no Critical defects open</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Approver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Manager — signs QA log before publish to production link</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Sign-Off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Day 24 per project plan</w:t>
            </w:r>
          </w:p>
        </w:tc>
      </w:tr>
    </w:tbl>
    <w:p>
      <w:r>
        <w:t xml:space="preserve"/>
      </w:r>
    </w:p>
    <w:p>
      <w:r>
        <w:br w:type="page"/>
      </w:r>
    </w:p>
    <w:p>
      <w:pPr>
        <w:pStyle w:val="Heading1"/>
      </w:pPr>
      <w:r>
        <w:rPr>
          <w:rFonts w:ascii="Arial" w:cs="Arial" w:eastAsia="Arial" w:hAnsi="Arial"/>
          <w:b/>
          <w:bCs/>
          <w:color w:val="1F2A44"/>
          <w:sz w:val="36"/>
          <w:szCs w:val="36"/>
        </w:rPr>
        <w:t xml:space="preserve">Section 12 — Risk Log &amp; Deliverables Tracker</w:t>
      </w:r>
    </w:p>
    <w:p>
      <w:pPr>
        <w:pBdr>
          <w:bottom w:val="single" w:color="3E8A8B" w:sz="6" w:space="1"/>
        </w:pBdr>
      </w:pPr>
      <w:r>
        <w:t xml:space="preserve"/>
      </w:r>
    </w:p>
    <w:p>
      <w:r>
        <w:t xml:space="preserve"/>
      </w:r>
    </w:p>
    <w:p>
      <w:pPr>
        <w:pStyle w:val="Heading2"/>
      </w:pPr>
      <w:r>
        <w:rPr>
          <w:rFonts w:ascii="Arial" w:cs="Arial" w:eastAsia="Arial" w:hAnsi="Arial"/>
          <w:b/>
          <w:bCs/>
          <w:color w:val="3E8A8B"/>
          <w:sz w:val="28"/>
          <w:szCs w:val="28"/>
        </w:rPr>
        <w:t xml:space="preserve">12.1  Risk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800"/>
        <w:gridCol w:w="1560"/>
        <w:gridCol w:w="2700"/>
        <w:gridCol w:w="800"/>
      </w:tblGrid>
      <w:tr>
        <w:trPr>
          <w:tblHeader/>
        </w:trPr>
        <w:tc>
          <w:tcPr>
            <w:tcW w:type="dxa" w:w="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Description</w:t>
            </w:r>
          </w:p>
        </w:tc>
        <w:tc>
          <w:tcPr>
            <w:tcW w:type="dxa" w:w="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1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c>
          <w:tcPr>
            <w:tcW w:type="dxa" w:w="27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c>
          <w:tcPr>
            <w:tcW w:type="dxa" w:w="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R-01</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Campaign_Cost duplication inflates ROI if not deduplicated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w:t>
            </w:r>
          </w:p>
        </w:tc>
        <w:tc>
          <w:tcPr>
            <w:tcW w:type="dxa" w:w="2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FIXED LOD {FIXED [Campaign_ID]: MAX(Campaign_Cost)} in all ROI calcs</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metrics misinterpreted — click rate vs. conversion rate confused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tooltip definitions; include glossary in client guide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R-03</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 values not validated with stakeholders before build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2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Conduct threshold workshop Day 3–4; document in Excel matrix</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Tableau Public extract goes stale with no refresh process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manual refresh cadence; note limitation of Tableau Public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R-05</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donor concentration &gt; 70%: single donor departure creates revenue cliff</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Director</w:t>
            </w:r>
          </w:p>
        </w:tc>
        <w:tc>
          <w:tcPr>
            <w:tcW w:type="dxa" w:w="2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in risk panel; surface in Major Donor Concentration KPI</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September donor spike is a data anomaly, not a real trend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Annotate spike in dashboard; add attribution validation note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R-07</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published with PII if real donor data is substituted</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Manager</w:t>
            </w:r>
          </w:p>
        </w:tc>
        <w:tc>
          <w:tcPr>
            <w:tcW w:type="dxa" w:w="2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Governance gate: Data Manager must verify dataset is synthetic before publish</w:t>
            </w:r>
          </w:p>
        </w:tc>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bl>
    <w:p>
      <w:r>
        <w:t xml:space="preserve"/>
      </w:r>
    </w:p>
    <w:p>
      <w:pPr>
        <w:pStyle w:val="Heading2"/>
      </w:pPr>
      <w:r>
        <w:rPr>
          <w:rFonts w:ascii="Arial" w:cs="Arial" w:eastAsia="Arial" w:hAnsi="Arial"/>
          <w:b/>
          <w:bCs/>
          <w:color w:val="3E8A8B"/>
          <w:sz w:val="28"/>
          <w:szCs w:val="28"/>
        </w:rPr>
        <w:t xml:space="preserve">12.2  Deliverables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800"/>
        <w:gridCol w:w="1560"/>
        <w:gridCol w:w="1400"/>
        <w:gridCol w:w="1600"/>
      </w:tblGrid>
      <w:tr>
        <w:trPr>
          <w:tblHeader/>
        </w:trPr>
        <w:tc>
          <w:tcPr>
            <w:tcW w:type="dxa" w:w="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Due Date</w:t>
            </w:r>
          </w:p>
        </w:tc>
        <w:tc>
          <w:tcPr>
            <w:tcW w:type="dxa" w:w="1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Audience</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D-01</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Requirements Document (BRD)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18,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DARCI Matrix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15,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 Client</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D-03</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Dictionary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21,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 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Snowflake Analytics View (VW_FUNDRAISING_DASHBOARD)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22,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D-05</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Validation Report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Analyst</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25,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 Extract (fundraising_dashboard_extract_v1.csv)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Engineer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25,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D-07</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Tableau Calculation Library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28,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Wireframe (3 tabs, 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UX + BA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27,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 Client</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D-09</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 Executive Overview Tab</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2,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 Campaign Performance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4,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D-11</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Dashboard — Donor Intelligence Tab</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6,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Test Log (signed)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QA + Data Manager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9,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D-13</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UAT Plan &amp; Results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12,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Threshold Matrix (Excel)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 20,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 Client</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D-15</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Dashboard Guide (Word)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13,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Project Documentation (this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 + PM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13,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Progress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D-17</w:t>
            </w:r>
          </w:p>
        </w:tc>
        <w:tc>
          <w:tcPr>
            <w:tcW w:type="dxa" w:w="2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Published Tableau Public Dashboard Link</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BI Developer</w:t>
            </w:r>
          </w:p>
        </w:tc>
        <w:tc>
          <w:tcPr>
            <w:tcW w:type="dxa" w:w="1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13, 2026</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Training 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 14,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Started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r>
    </w:tbl>
    <w:p>
      <w:r>
        <w:t xml:space="preserve"/>
      </w:r>
    </w:p>
    <w:p>
      <w:r>
        <w:br w:type="page"/>
      </w:r>
    </w:p>
    <w:p>
      <w:pPr>
        <w:pStyle w:val="Heading1"/>
      </w:pPr>
      <w:r>
        <w:rPr>
          <w:rFonts w:ascii="Arial" w:cs="Arial" w:eastAsia="Arial" w:hAnsi="Arial"/>
          <w:b/>
          <w:bCs/>
          <w:color w:val="1F2A44"/>
          <w:sz w:val="36"/>
          <w:szCs w:val="36"/>
        </w:rPr>
        <w:t xml:space="preserve">Section 13 — Data Governance &amp; Compliance</w:t>
      </w:r>
    </w:p>
    <w:p>
      <w:pPr>
        <w:pBdr>
          <w:bottom w:val="single" w:color="3E8A8B"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Data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demo dataset. No real donor PII. Safe for public publishing.</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Data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Manager — approves all metric definitions, thresholds, and extract contents before publish.</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Metric Governance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KPI definitions and threshold values require Data Manager written approval before being encoded in Tableau.</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Change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change to a KPI definition, threshold value, or calculation logic must be logged in the Risk Log, approved by Data Manager, and re-validated through QA.</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Refresh Cadence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Public does not support live connections. Manual extract refresh required. Recommended: monthly or after each major campaign closes.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Access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is published publicly on Tableau Public. No row-level security required for synthetic data. If real data is introduced, switch to Tableau Server with role-based access.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Retention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dataset retained for demo purposes indefinitely. If replaced with real donor data, apply organization's donor data retention policy (typically 7 years).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Audit Trail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QA sign-offs, UAT results, and Data Manager approvals are stored in the project documentation package.</w:t>
            </w:r>
          </w:p>
        </w:tc>
      </w:tr>
    </w:tbl>
    <w:p>
      <w:r>
        <w:t xml:space="preserve"/>
      </w:r>
    </w:p>
    <w:p>
      <w:pPr>
        <w:pStyle w:val="Heading2"/>
      </w:pPr>
      <w:r>
        <w:rPr>
          <w:rFonts w:ascii="Arial" w:cs="Arial" w:eastAsia="Arial" w:hAnsi="Arial"/>
          <w:b/>
          <w:bCs/>
          <w:color w:val="3E8A8B"/>
          <w:sz w:val="28"/>
          <w:szCs w:val="28"/>
        </w:rPr>
        <w:t xml:space="preserve">Snowflake → Tableau Governance Checklist</w:t>
      </w:r>
    </w:p>
    <w:p>
      <w:pPr>
        <w:pStyle w:val="ListParagraph"/>
        <w:numPr>
          <w:ilvl w:val="0"/>
          <w:numId w:val="2"/>
        </w:numPr>
      </w:pPr>
      <w:r>
        <w:rPr>
          <w:rFonts w:ascii="Arial" w:cs="Arial" w:eastAsia="Arial" w:hAnsi="Arial"/>
          <w:sz w:val="22"/>
          <w:szCs w:val="22"/>
        </w:rPr>
        <w:t xml:space="preserve">Data Manager has reviewed and approved the analytics view definition.</w:t>
      </w:r>
    </w:p>
    <w:p>
      <w:pPr>
        <w:pStyle w:val="ListParagraph"/>
        <w:numPr>
          <w:ilvl w:val="0"/>
          <w:numId w:val="2"/>
        </w:numPr>
      </w:pPr>
      <w:r>
        <w:rPr>
          <w:rFonts w:ascii="Arial" w:cs="Arial" w:eastAsia="Arial" w:hAnsi="Arial"/>
          <w:sz w:val="22"/>
          <w:szCs w:val="22"/>
        </w:rPr>
        <w:t xml:space="preserve">Campaign_Cost deduplication logic confirmed correct before extract export.</w:t>
      </w:r>
    </w:p>
    <w:p>
      <w:pPr>
        <w:pStyle w:val="ListParagraph"/>
        <w:numPr>
          <w:ilvl w:val="0"/>
          <w:numId w:val="2"/>
        </w:numPr>
      </w:pPr>
      <w:r>
        <w:rPr>
          <w:rFonts w:ascii="Arial" w:cs="Arial" w:eastAsia="Arial" w:hAnsi="Arial"/>
          <w:sz w:val="22"/>
          <w:szCs w:val="22"/>
        </w:rPr>
        <w:t xml:space="preserve">Extract file named with version number and date (e.g., fundraising_extract_v1_20260512.csv).</w:t>
      </w:r>
    </w:p>
    <w:p>
      <w:pPr>
        <w:pStyle w:val="ListParagraph"/>
        <w:numPr>
          <w:ilvl w:val="0"/>
          <w:numId w:val="2"/>
        </w:numPr>
      </w:pPr>
      <w:r>
        <w:rPr>
          <w:rFonts w:ascii="Arial" w:cs="Arial" w:eastAsia="Arial" w:hAnsi="Arial"/>
          <w:sz w:val="22"/>
          <w:szCs w:val="22"/>
        </w:rPr>
        <w:t xml:space="preserve">No fields containing real donor names, emails, or addresses included in the extract.</w:t>
      </w:r>
    </w:p>
    <w:p>
      <w:pPr>
        <w:pStyle w:val="ListParagraph"/>
        <w:numPr>
          <w:ilvl w:val="0"/>
          <w:numId w:val="2"/>
        </w:numPr>
      </w:pPr>
      <w:r>
        <w:rPr>
          <w:rFonts w:ascii="Arial" w:cs="Arial" w:eastAsia="Arial" w:hAnsi="Arial"/>
          <w:sz w:val="22"/>
          <w:szCs w:val="22"/>
        </w:rPr>
        <w:t xml:space="preserve">Tableau Public workbook reviewed to confirm no sensitive data is visible in tooltips or hidden sheets.</w:t>
      </w:r>
    </w:p>
    <w:p>
      <w:pPr>
        <w:pStyle w:val="ListParagraph"/>
        <w:numPr>
          <w:ilvl w:val="0"/>
          <w:numId w:val="2"/>
        </w:numPr>
      </w:pPr>
      <w:r>
        <w:rPr>
          <w:rFonts w:ascii="Arial" w:cs="Arial" w:eastAsia="Arial" w:hAnsi="Arial"/>
          <w:sz w:val="22"/>
          <w:szCs w:val="22"/>
        </w:rPr>
        <w:t xml:space="preserve">Metric definitions in Tableau match the Data Dictionary in this document exactly.</w:t>
      </w:r>
    </w:p>
    <w:p>
      <w:r>
        <w:t xml:space="preserve"/>
      </w:r>
    </w:p>
    <w:p>
      <w:r>
        <w:br w:type="page"/>
      </w:r>
    </w:p>
    <w:p>
      <w:pPr>
        <w:pStyle w:val="Heading1"/>
      </w:pPr>
      <w:r>
        <w:rPr>
          <w:rFonts w:ascii="Arial" w:cs="Arial" w:eastAsia="Arial" w:hAnsi="Arial"/>
          <w:b/>
          <w:bCs/>
          <w:color w:val="1F2A44"/>
          <w:sz w:val="36"/>
          <w:szCs w:val="36"/>
        </w:rPr>
        <w:t xml:space="preserve">Section 14 — Client-Facing Dashboard Guide</w:t>
      </w:r>
    </w:p>
    <w:p>
      <w:pPr>
        <w:pBdr>
          <w:bottom w:val="single" w:color="3E8A8B" w:sz="6" w:space="1"/>
        </w:pBdr>
      </w:pPr>
      <w:r>
        <w:t xml:space="preserve"/>
      </w:r>
    </w:p>
    <w:p>
      <w:r>
        <w:t xml:space="preserve"/>
      </w:r>
    </w:p>
    <w:p>
      <w:pPr>
        <w:spacing w:after="120"/>
      </w:pPr>
      <w:r>
        <w:rPr>
          <w:rFonts w:ascii="Arial" w:cs="Arial" w:eastAsia="Arial" w:hAnsi="Arial"/>
          <w:sz w:val="22"/>
          <w:szCs w:val="22"/>
        </w:rPr>
        <w:t xml:space="preserve">This section is designed to be extracted as a standalone document for nonprofit clients. It provides plain-language explanations of every dashboard element, how to interpret thresholds, and what actions to take.</w:t>
      </w:r>
    </w:p>
    <w:p>
      <w:r>
        <w:t xml:space="preserve"/>
      </w:r>
    </w:p>
    <w:p>
      <w:pPr>
        <w:pStyle w:val="Heading2"/>
      </w:pPr>
      <w:r>
        <w:rPr>
          <w:rFonts w:ascii="Arial" w:cs="Arial" w:eastAsia="Arial" w:hAnsi="Arial"/>
          <w:b/>
          <w:bCs/>
          <w:color w:val="3E8A8B"/>
          <w:sz w:val="28"/>
          <w:szCs w:val="28"/>
        </w:rPr>
        <w:t xml:space="preserve">14.1  What This Dashboard Does</w:t>
      </w:r>
    </w:p>
    <w:p>
      <w:pPr>
        <w:spacing w:after="120"/>
      </w:pPr>
      <w:r>
        <w:rPr>
          <w:rFonts w:ascii="Arial" w:cs="Arial" w:eastAsia="Arial" w:hAnsi="Arial"/>
          <w:sz w:val="22"/>
          <w:szCs w:val="22"/>
        </w:rPr>
        <w:t xml:space="preserve">The Skye Fundraising Intelligence Dashboard helps your organization answer three questions at any time:</w:t>
      </w:r>
    </w:p>
    <w:p>
      <w:pPr>
        <w:pStyle w:val="ListParagraph"/>
        <w:numPr>
          <w:ilvl w:val="0"/>
          <w:numId w:val="2"/>
        </w:numPr>
      </w:pPr>
      <w:r>
        <w:rPr>
          <w:rFonts w:ascii="Arial" w:cs="Arial" w:eastAsia="Arial" w:hAnsi="Arial"/>
          <w:sz w:val="22"/>
          <w:szCs w:val="22"/>
        </w:rPr>
        <w:t xml:space="preserve">What is happening with our fundraising right now?</w:t>
      </w:r>
    </w:p>
    <w:p>
      <w:pPr>
        <w:pStyle w:val="ListParagraph"/>
        <w:numPr>
          <w:ilvl w:val="0"/>
          <w:numId w:val="2"/>
        </w:numPr>
      </w:pPr>
      <w:r>
        <w:rPr>
          <w:rFonts w:ascii="Arial" w:cs="Arial" w:eastAsia="Arial" w:hAnsi="Arial"/>
          <w:sz w:val="22"/>
          <w:szCs w:val="22"/>
        </w:rPr>
        <w:t xml:space="preserve">Why is performance changing?</w:t>
      </w:r>
    </w:p>
    <w:p>
      <w:pPr>
        <w:pStyle w:val="ListParagraph"/>
        <w:numPr>
          <w:ilvl w:val="0"/>
          <w:numId w:val="2"/>
        </w:numPr>
      </w:pPr>
      <w:r>
        <w:rPr>
          <w:rFonts w:ascii="Arial" w:cs="Arial" w:eastAsia="Arial" w:hAnsi="Arial"/>
          <w:sz w:val="22"/>
          <w:szCs w:val="22"/>
        </w:rPr>
        <w:t xml:space="preserve">What should we do next?</w:t>
      </w:r>
    </w:p>
    <w:p>
      <w:pPr>
        <w:spacing w:after="120"/>
      </w:pPr>
      <w:r>
        <w:rPr>
          <w:rFonts w:ascii="Arial" w:cs="Arial" w:eastAsia="Arial" w:hAnsi="Arial"/>
          <w:sz w:val="22"/>
          <w:szCs w:val="22"/>
        </w:rPr>
        <w:t xml:space="preserve">The dashboard updates when new data is loaded. It is designed for executive leadership, fundraising teams, and development analysts.</w:t>
      </w:r>
    </w:p>
    <w:p>
      <w:r>
        <w:t xml:space="preserve"/>
      </w:r>
    </w:p>
    <w:p>
      <w:pPr>
        <w:pStyle w:val="Heading2"/>
      </w:pPr>
      <w:r>
        <w:rPr>
          <w:rFonts w:ascii="Arial" w:cs="Arial" w:eastAsia="Arial" w:hAnsi="Arial"/>
          <w:b/>
          <w:bCs/>
          <w:color w:val="3E8A8B"/>
          <w:sz w:val="28"/>
          <w:szCs w:val="28"/>
        </w:rPr>
        <w:t xml:space="preserve">14.2  How to Read the KPI Cards</w:t>
      </w:r>
    </w:p>
    <w:p>
      <w:pPr>
        <w:spacing w:after="120"/>
      </w:pPr>
      <w:r>
        <w:rPr>
          <w:rFonts w:ascii="Arial" w:cs="Arial" w:eastAsia="Arial" w:hAnsi="Arial"/>
          <w:sz w:val="22"/>
          <w:szCs w:val="22"/>
        </w:rPr>
        <w:t xml:space="preserve">Each KPI card at the top of every tab shows five pieces of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Metric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being measured (e.g., Repeat Donor Rate)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Current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calculated result for the selected time period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Change Indicator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arrow showing whether the metric improved or declined vs. the prior period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Industry Benchmark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typical range for nonprofits nationally</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sz w:val="20"/>
                <w:szCs w:val="20"/>
              </w:rPr>
              <w:t xml:space="preserve">Status Badge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Stable (Navy), Watch (Gold), Warning (Coral), or Critical (Dark Red)</w:t>
            </w:r>
          </w:p>
        </w:tc>
      </w:tr>
    </w:tbl>
    <w:p>
      <w:r>
        <w:t xml:space="preserve"/>
      </w:r>
    </w:p>
    <w:p>
      <w:pPr>
        <w:pStyle w:val="Heading2"/>
      </w:pPr>
      <w:r>
        <w:rPr>
          <w:rFonts w:ascii="Arial" w:cs="Arial" w:eastAsia="Arial" w:hAnsi="Arial"/>
          <w:b/>
          <w:bCs/>
          <w:color w:val="3E8A8B"/>
          <w:sz w:val="28"/>
          <w:szCs w:val="28"/>
        </w:rPr>
        <w:t xml:space="preserve">14.3  Understanding Alert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560"/>
        <w:gridCol w:w="3800"/>
      </w:tblGrid>
      <w:tr>
        <w:trPr>
          <w:tblHeader/>
        </w:trPr>
        <w:tc>
          <w:tcPr>
            <w:tcW w:type="dxa" w:w="1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Color</w:t>
            </w:r>
          </w:p>
        </w:tc>
        <w:tc>
          <w:tcPr>
            <w:tcW w:type="dxa" w:w="1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Means</w:t>
            </w:r>
          </w:p>
        </w:tc>
        <w:tc>
          <w:tcPr>
            <w:tcW w:type="dxa" w:w="3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Do</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Navy (Dark Blue)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Stable</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is within expected range.</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Continue current strategy. Monitor for 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is approaching a concern. Not urgent yet.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the cause. Prepare a response plan.</w:t>
            </w:r>
          </w:p>
        </w:tc>
      </w:tr>
      <w:tr>
        <w:tc>
          <w:tcPr>
            <w:tcW w:type="dxa" w:w="1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Coral (Orange-Red)</w:t>
            </w:r>
          </w:p>
        </w:tc>
        <w:tc>
          <w:tcPr>
            <w:tcW w:type="dxa" w:w="1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has crossed a meaningful threshold. Attention needed.</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 a team review. Begin corrective action planning.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Dark 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requires immediate leadership action.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 now. Escalate to senior leadership. Execute intervention plan.</w:t>
            </w:r>
          </w:p>
        </w:tc>
      </w:tr>
    </w:tbl>
    <w:p>
      <w:r>
        <w:t xml:space="preserve"/>
      </w:r>
    </w:p>
    <w:p>
      <w:pPr>
        <w:pStyle w:val="Heading2"/>
      </w:pPr>
      <w:r>
        <w:rPr>
          <w:rFonts w:ascii="Arial" w:cs="Arial" w:eastAsia="Arial" w:hAnsi="Arial"/>
          <w:b/>
          <w:bCs/>
          <w:color w:val="3E8A8B"/>
          <w:sz w:val="28"/>
          <w:szCs w:val="28"/>
        </w:rPr>
        <w:t xml:space="preserve">14.4  Plain-Language KPI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37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Measures</w:t>
            </w:r>
          </w:p>
        </w:tc>
        <w:tc>
          <w:tcPr>
            <w:tcW w:type="dxa" w:w="3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 Matters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Total Donations</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total dollars raised in the selected period from all campaigns and channels.</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top-line revenue health indicator. Compare to budget and prior periods to assess trajectory.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Donors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number of unique individuals who donated in the selected period.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your reach and breadth. Growing donors indicates healthy acquisition.</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Average Gift</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typical donation size per transaction.</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Helps identify whether campaigns are attracting the right donor profile. Declining average gift may signal engagement quality issues.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Repeat Donor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percentage of donors who have given more than once.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retention is 5–7x less expensive than acquisition. A declining rate signals that your relationship-building needs attention.</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Email Open Rate</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percentage of people who received your email actually opened it.</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If open rates are low, your subject line or send timing may need improvement.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 Conversion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 the people who opened your email, what percentage clicked through.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best measure of email content effectiveness. Low conversion means the message or offer isn't compelling enough.</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Campaign ROI</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every dollar spent on a campaign, how many dollars came back.</w:t>
            </w:r>
          </w:p>
        </w:tc>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A ROI of 2.0x means you got $2 back for every $1 spent. Below 1.0x means the campaign lost money.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Avg Lifetime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average total giving amount per donor across all years.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lifetime value donors are your most important relationships. Use this to prioritize major donor cultivation.</w:t>
            </w:r>
          </w:p>
        </w:tc>
      </w:tr>
    </w:tbl>
    <w:p>
      <w:r>
        <w:t xml:space="preserve"/>
      </w:r>
    </w:p>
    <w:p>
      <w:pPr>
        <w:pStyle w:val="Heading2"/>
      </w:pPr>
      <w:r>
        <w:rPr>
          <w:rFonts w:ascii="Arial" w:cs="Arial" w:eastAsia="Arial" w:hAnsi="Arial"/>
          <w:b/>
          <w:bCs/>
          <w:color w:val="3E8A8B"/>
          <w:sz w:val="28"/>
          <w:szCs w:val="28"/>
        </w:rPr>
        <w:t xml:space="preserve">14.5  Recommended Actions by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rPr>
          <w:tblHeader/>
        </w:trPr>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If You See This…</w:t>
            </w:r>
          </w:p>
        </w:tc>
        <w:tc>
          <w:tcPr>
            <w:tcW w:type="dxa" w:w="20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On This KPI</w:t>
            </w:r>
          </w:p>
        </w:tc>
        <w:tc>
          <w:tcPr>
            <w:tcW w:type="dxa" w:w="2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Likely Cause</w:t>
            </w:r>
          </w:p>
        </w:tc>
        <w:tc>
          <w:tcPr>
            <w:tcW w:type="dxa" w:w="2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Repeat Donor Rate drops 2+ pts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Retention</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Post-campaign lapse; inadequate stewardship</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 targeted re-engagement campaign for donors inactive 60–90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Email Conversion Rate below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Effectiveness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CTA, irrelevant content, poor landing 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A/B test subject lines; simplify donation form; review offer alignment.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Campaign ROI below 1x</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ROI</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cost relative to revenue; poor channel targeting</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 or restructure campaign; reallocate budget to top performers.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Major Donor Concentration above 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Donor Segmentation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over-reliant on small donor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 mid-tier donor upgrade program; reduce dependency on top 5%.</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September spike in repeat donors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 Trend</w:t>
            </w:r>
          </w:p>
        </w:tc>
        <w:tc>
          <w:tcPr>
            <w:tcW w:type="dxa" w:w="2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Possible data anomaly or one-time event</w:t>
            </w:r>
          </w:p>
        </w:tc>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 campaign attribution for September; check for duplicate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Coral outlier appears in donor scatter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Outlier Donors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Unusually large gift — positive or data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donor record; confirm gift is accurate; steward appropriately.</w:t>
            </w:r>
          </w:p>
        </w:tc>
      </w:tr>
    </w:tbl>
    <w:p>
      <w:r>
        <w:t xml:space="preserve"/>
      </w:r>
    </w:p>
    <w:p>
      <w:pPr>
        <w:pBdr>
          <w:bottom w:val="single" w:color="3E8A8B" w:sz="6" w:space="1"/>
        </w:pBdr>
      </w:pPr>
      <w:r>
        <w:t xml:space="preserve"/>
      </w:r>
    </w:p>
    <w:p>
      <w:pPr>
        <w:spacing w:before="240"/>
        <w:jc w:val="center"/>
      </w:pPr>
      <w:r>
        <w:rPr>
          <w:rFonts w:ascii="Arial" w:cs="Arial" w:eastAsia="Arial" w:hAnsi="Arial"/>
          <w:i/>
          <w:iCs/>
          <w:color w:val="555555"/>
          <w:sz w:val="18"/>
          <w:szCs w:val="18"/>
        </w:rPr>
        <w:t xml:space="preserve">Skye Data Advisory  |  Data Strategy, Analytics &amp; Governance for Mission-Driven Organizations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E8A8B"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8A8B" w:sz="4" w:space="1"/>
      </w:pBdr>
    </w:pPr>
    <w:r>
      <w:rPr>
        <w:rFonts w:ascii="Arial" w:cs="Arial" w:eastAsia="Arial" w:hAnsi="Arial"/>
        <w:color w:val="555555"/>
        <w:sz w:val="18"/>
        <w:szCs w:val="18"/>
      </w:rPr>
      <w:t xml:space="preserve">Skye Data Advisory  |  Fundraising Intelligence Dashboard  |  Project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2A4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3E8A8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2026-04-13T04:20:44.202Z</dcterms:created>
  <dcterms:modified xsi:type="dcterms:W3CDTF">2026-04-13T04:20:44.203Z</dcterms:modified>
</cp:coreProperties>
</file>

<file path=docProps/custom.xml><?xml version="1.0" encoding="utf-8"?>
<Properties xmlns="http://schemas.openxmlformats.org/officeDocument/2006/custom-properties" xmlns:vt="http://schemas.openxmlformats.org/officeDocument/2006/docPropsVTypes"/>
</file>