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6462F" w14:textId="77777777" w:rsidR="00EB554B" w:rsidRDefault="00000000">
      <w:pPr>
        <w:pStyle w:val="Title"/>
      </w:pPr>
      <w:r>
        <w:t>State-factor controls on subalpine forest structure</w:t>
      </w:r>
    </w:p>
    <w:p w14:paraId="4A4F45E0" w14:textId="77777777" w:rsidR="00EB554B" w:rsidRDefault="00000000">
      <w:pPr>
        <w:pStyle w:val="Author"/>
      </w:pPr>
      <w:r>
        <w:t>Hugh M. Worsham, Energy and Resources Group, U. C. Berkeley</w:t>
      </w:r>
    </w:p>
    <w:p w14:paraId="5E38832E" w14:textId="77777777" w:rsidR="00EB554B" w:rsidRDefault="00000000">
      <w:pPr>
        <w:pStyle w:val="Author"/>
      </w:pPr>
      <w:r>
        <w:t>Haruko M. Wainwright, Massachusetts Institute of Technology</w:t>
      </w:r>
    </w:p>
    <w:p w14:paraId="390D6FA0" w14:textId="77777777" w:rsidR="00EB554B" w:rsidRDefault="00000000">
      <w:pPr>
        <w:pStyle w:val="Author"/>
      </w:pPr>
      <w:r>
        <w:t>Thomas L. Powell, Sewanee College</w:t>
      </w:r>
    </w:p>
    <w:p w14:paraId="538026E3" w14:textId="77777777" w:rsidR="00EB554B" w:rsidRDefault="00000000">
      <w:pPr>
        <w:pStyle w:val="Author"/>
      </w:pPr>
      <w:r>
        <w:t>Nicola Falco, Lawrence Berkeley National Lab</w:t>
      </w:r>
    </w:p>
    <w:p w14:paraId="7660C387" w14:textId="77777777" w:rsidR="00EB554B" w:rsidRDefault="00000000">
      <w:pPr>
        <w:pStyle w:val="Author"/>
      </w:pPr>
      <w:r>
        <w:t>Lara M. Kueppers, Energy and Resources Group, U.C. Berkeley, Lawrence Berkeley National Lab</w:t>
      </w:r>
    </w:p>
    <w:p w14:paraId="793A15EA" w14:textId="77777777" w:rsidR="00EB554B" w:rsidRDefault="00000000">
      <w:pPr>
        <w:pStyle w:val="Date"/>
      </w:pPr>
      <w:r>
        <w:t>March 05, 2023</w:t>
      </w:r>
    </w:p>
    <w:p w14:paraId="4467A639" w14:textId="77777777" w:rsidR="00EB554B" w:rsidRDefault="00000000">
      <w:pPr>
        <w:pStyle w:val="Abstract"/>
      </w:pPr>
      <w:r>
        <w:t>Abstract goes here.</w:t>
      </w:r>
    </w:p>
    <w:p w14:paraId="5760A80E" w14:textId="77777777" w:rsidR="00EB554B" w:rsidRDefault="00000000">
      <w:pPr>
        <w:pStyle w:val="Heading1"/>
      </w:pPr>
      <w:bookmarkStart w:id="0" w:name="introduction"/>
      <w:r>
        <w:t>1. Introduction</w:t>
      </w:r>
    </w:p>
    <w:p w14:paraId="321C08A3" w14:textId="7CC442B2" w:rsidR="00EB554B" w:rsidRDefault="00000000">
      <w:pPr>
        <w:pStyle w:val="FirstParagraph"/>
      </w:pPr>
      <w:r>
        <w:t xml:space="preserve">One strain of thinking in ecology holds that ecosystem development is a function of five state factors: topography, parent material, climate, organisms, and time (Amundson and Jenny, 1997; Jenny, 1961). Forest stand structure and composition are two emergent properties of ecosystem development that can be evaluated in terms of continuous variables observed at a given point in time. </w:t>
      </w:r>
    </w:p>
    <w:p w14:paraId="7884301A" w14:textId="77777777" w:rsidR="00EB554B" w:rsidRDefault="00000000">
      <w:pPr>
        <w:pStyle w:val="Heading2"/>
      </w:pPr>
      <w:bookmarkStart w:id="1" w:name="Xe644d9da1a04e3bed0b40804a39e34e11fd7c75"/>
      <w:r>
        <w:t>1.1 Variability in forest structure and composition</w:t>
      </w:r>
    </w:p>
    <w:p w14:paraId="02363BF4" w14:textId="77777777" w:rsidR="00EB554B" w:rsidRDefault="00000000">
      <w:pPr>
        <w:pStyle w:val="Heading3"/>
      </w:pPr>
      <w:bookmarkStart w:id="2" w:name="forest-structure-and-topography"/>
      <w:r>
        <w:t>1.1.1 Forest structure and topography</w:t>
      </w:r>
    </w:p>
    <w:p w14:paraId="48B9395F" w14:textId="2DAA349D" w:rsidR="00EB554B" w:rsidRDefault="00000000" w:rsidP="00106F4A">
      <w:pPr>
        <w:pStyle w:val="FirstParagraph"/>
      </w:pPr>
      <w:r>
        <w:t xml:space="preserve">Topographic properties such as elevation, slope, hillslope position, curvature, and aspect substantially influence local microclimate and soil moisture variability </w:t>
      </w:r>
      <w:r w:rsidR="00055C12">
        <w:t>(</w:t>
      </w:r>
      <w:proofErr w:type="spellStart"/>
      <w:r>
        <w:t>Dobrowski</w:t>
      </w:r>
      <w:proofErr w:type="spellEnd"/>
      <w:r>
        <w:t xml:space="preserve"> 2011</w:t>
      </w:r>
      <w:r w:rsidR="00055C12">
        <w:t>)</w:t>
      </w:r>
      <w:r>
        <w:t xml:space="preserve">. </w:t>
      </w:r>
    </w:p>
    <w:p w14:paraId="04DACDD4" w14:textId="77777777" w:rsidR="00EB554B" w:rsidRDefault="00000000">
      <w:pPr>
        <w:pStyle w:val="Heading3"/>
      </w:pPr>
      <w:bookmarkStart w:id="3" w:name="forest-composition-and-topography"/>
      <w:bookmarkEnd w:id="2"/>
      <w:r>
        <w:lastRenderedPageBreak/>
        <w:t>1.1.2. Forest composition and topography</w:t>
      </w:r>
    </w:p>
    <w:p w14:paraId="5916E919" w14:textId="00AF32A4" w:rsidR="00EB554B" w:rsidRDefault="00000000">
      <w:pPr>
        <w:pStyle w:val="FirstParagraph"/>
      </w:pPr>
      <w:r>
        <w:t>In subalpine forests of the southern Rocky Mountains (SRM), some clear topography-driven controls on species occurrence exist. Engelmann spruce (</w:t>
      </w:r>
      <w:r>
        <w:rPr>
          <w:i/>
          <w:iCs/>
        </w:rPr>
        <w:t>Picea engelmannii</w:t>
      </w:r>
      <w:r>
        <w:t>) and subalpine fir (</w:t>
      </w:r>
      <w:r>
        <w:rPr>
          <w:i/>
          <w:iCs/>
        </w:rPr>
        <w:t>Abies lasiocarpa</w:t>
      </w:r>
      <w:r>
        <w:t xml:space="preserve">) tend to co-occur in high densities throughout the subalpine zone (~2700–-3000 m a.s.l.) and only sparsely in the upper montane zone (~1850–2900 m a.s.l.). </w:t>
      </w:r>
    </w:p>
    <w:p w14:paraId="5956849E" w14:textId="77777777" w:rsidR="00EB554B" w:rsidRDefault="00000000">
      <w:pPr>
        <w:pStyle w:val="BodyText"/>
      </w:pPr>
      <w:bookmarkStart w:id="4" w:name="gaps-and-motivations"/>
      <w:bookmarkEnd w:id="1"/>
      <w:bookmarkEnd w:id="3"/>
      <w:r>
        <w:t>We addressed the following questions:</w:t>
      </w:r>
    </w:p>
    <w:p w14:paraId="672A83ED" w14:textId="77777777" w:rsidR="00EB554B" w:rsidRDefault="00000000">
      <w:pPr>
        <w:pStyle w:val="Compact"/>
        <w:numPr>
          <w:ilvl w:val="0"/>
          <w:numId w:val="1"/>
        </w:numPr>
      </w:pPr>
      <w:r>
        <w:t>To what extent are tree stem height and diameter distributions, total number density, and basal area influenced by the elevation, slope, hillslope position, solar radiation, aspect, and topographic wetness of a site?</w:t>
      </w:r>
    </w:p>
    <w:p w14:paraId="651415D4" w14:textId="77777777" w:rsidR="00EB554B" w:rsidRDefault="00000000">
      <w:pPr>
        <w:pStyle w:val="Compact"/>
        <w:numPr>
          <w:ilvl w:val="0"/>
          <w:numId w:val="1"/>
        </w:numPr>
      </w:pPr>
      <w:r>
        <w:t>To what extent are species distributions influenced by the same topographic factors?</w:t>
      </w:r>
    </w:p>
    <w:p w14:paraId="4E965416" w14:textId="77777777" w:rsidR="00EB554B" w:rsidRDefault="00000000">
      <w:pPr>
        <w:pStyle w:val="Compact"/>
        <w:numPr>
          <w:ilvl w:val="0"/>
          <w:numId w:val="1"/>
        </w:numPr>
      </w:pPr>
      <w:r>
        <w:t>How do the specified topographic factors interact to mediate these relationships?</w:t>
      </w:r>
    </w:p>
    <w:p w14:paraId="7824A34F" w14:textId="77777777" w:rsidR="00EB554B" w:rsidRDefault="00000000">
      <w:pPr>
        <w:pStyle w:val="FirstParagraph"/>
      </w:pPr>
      <w:r>
        <w:t>To address these questions, we integrated a full-waveform LiDAR dataset acquired over Colorado’s East River watershed with [a species classification map derived from imaging spectrometry and] field inventory measurements of 7000+ trees to quantify the spatial variability of forest canopy structure through the vertical profile, as well as stand structure and composition. We then used inferential modeling techniques to quantify the relative importance of state-factor controls on forest stand structure and composition, as estimated at a single point and time.</w:t>
      </w:r>
    </w:p>
    <w:p w14:paraId="309A0D4E" w14:textId="77777777" w:rsidR="00EB554B" w:rsidRDefault="00000000">
      <w:pPr>
        <w:pStyle w:val="Heading1"/>
      </w:pPr>
      <w:bookmarkStart w:id="5" w:name="data-and-methods"/>
      <w:bookmarkEnd w:id="0"/>
      <w:bookmarkEnd w:id="4"/>
      <w:r>
        <w:t>2. Data and methods</w:t>
      </w:r>
    </w:p>
    <w:p w14:paraId="20FD29B4" w14:textId="77777777" w:rsidR="00EB554B" w:rsidRDefault="00000000">
      <w:pPr>
        <w:pStyle w:val="Heading2"/>
      </w:pPr>
      <w:bookmarkStart w:id="6" w:name="study-area"/>
      <w:r>
        <w:t>2.1. Study area</w:t>
      </w:r>
    </w:p>
    <w:p w14:paraId="2B3592FE" w14:textId="078EA7D5" w:rsidR="00EB554B" w:rsidRDefault="00000000">
      <w:pPr>
        <w:pStyle w:val="FirstParagraph"/>
      </w:pPr>
      <w:r>
        <w:t xml:space="preserve">The domain for this project comprised montane-subalpine conifer forest stands in Colorado’s East River watershed (38°55’ N, 106°56’ W; Fig. 1). The East River is a </w:t>
      </w:r>
      <w:r>
        <w:lastRenderedPageBreak/>
        <w:t xml:space="preserve">headwater tributary of the Colorado River, the principal freshwater source for one in 10 people in the U.S. (U.S. Department of the Interior Bureau of Reclamation 2012). </w:t>
      </w:r>
    </w:p>
    <w:p w14:paraId="5134849E" w14:textId="356604A9" w:rsidR="00AB6C84" w:rsidRDefault="00AB6C84" w:rsidP="00AB6C84">
      <w:pPr>
        <w:pStyle w:val="Heading2"/>
      </w:pPr>
      <w:bookmarkStart w:id="7" w:name="data-collection-and-processing"/>
      <w:bookmarkStart w:id="8" w:name="waveform-processing"/>
      <w:bookmarkEnd w:id="6"/>
      <w:r>
        <w:t>2.2 Math</w:t>
      </w:r>
    </w:p>
    <w:p w14:paraId="6243074B" w14:textId="452C57E3" w:rsidR="00EB554B" w:rsidRDefault="00000000">
      <w:pPr>
        <w:pStyle w:val="BodyText"/>
      </w:pPr>
      <w:r>
        <w:t>We applied an adaptive Gaussian decomposition algorithm to fit one or more Gaussian models to the return pulse components based on Equation 2:</w:t>
      </w:r>
    </w:p>
    <w:p w14:paraId="407BB87D" w14:textId="77777777" w:rsidR="00EB554B" w:rsidRDefault="00000000">
      <w:pPr>
        <w:pStyle w:val="BodyText"/>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θ</m:t>
              </m:r>
            </m:e>
          </m:d>
          <m:r>
            <m:rPr>
              <m:sty m:val="p"/>
            </m:rPr>
            <w:rPr>
              <w:rFonts w:ascii="Cambria Math" w:hAnsi="Cambria Math"/>
            </w:rPr>
            <m:t>=</m:t>
          </m:r>
          <m:nary>
            <m:naryPr>
              <m:chr m:val="∑"/>
              <m:limLoc m:val="undOvr"/>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1</m:t>
                  </m:r>
                </m:e>
              </m:d>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exp</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e>
                  </m:d>
                </m:e>
                <m:sup>
                  <m:r>
                    <w:rPr>
                      <w:rFonts w:ascii="Cambria Math" w:hAnsi="Cambria Math"/>
                    </w:rPr>
                    <m:t>λ</m:t>
                  </m:r>
                </m:sup>
              </m:sSup>
            </m:num>
            <m:den>
              <m:d>
                <m:dPr>
                  <m:ctrlPr>
                    <w:rPr>
                      <w:rFonts w:ascii="Cambria Math" w:hAnsi="Cambria Math"/>
                    </w:rPr>
                  </m:ctrlPr>
                </m:dPr>
                <m:e>
                  <m:r>
                    <w:rPr>
                      <w:rFonts w:ascii="Cambria Math" w:hAnsi="Cambria Math"/>
                    </w:rPr>
                    <m:t>2</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e>
              </m:d>
            </m:den>
          </m:f>
          <m:r>
            <m:rPr>
              <m:sty m:val="p"/>
            </m:rPr>
            <w:rPr>
              <w:rFonts w:ascii="Cambria Math" w:hAnsi="Cambria Math"/>
            </w:rPr>
            <m:t>]</m:t>
          </m:r>
        </m:oMath>
      </m:oMathPara>
    </w:p>
    <w:p w14:paraId="72A97193" w14:textId="77777777" w:rsidR="00AB6C84" w:rsidRDefault="00000000">
      <w:pPr>
        <w:pStyle w:val="FirstParagraph"/>
      </w:pPr>
      <w:r>
        <w:t xml:space="preserve">(2) where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is the amplitude of waveform component </w:t>
      </w:r>
      <m:oMath>
        <m:r>
          <w:rPr>
            <w:rFonts w:ascii="Cambria Math" w:hAnsi="Cambria Math"/>
          </w:rPr>
          <m:t>i</m:t>
        </m:r>
      </m:oMath>
      <w:r>
        <w:t xml:space="preserve">, </w:t>
      </w:r>
      <m:oMath>
        <m:r>
          <w:rPr>
            <w:rFonts w:ascii="Cambria Math" w:hAnsi="Cambria Math"/>
          </w:rPr>
          <m:t>μ</m:t>
        </m:r>
      </m:oMath>
      <w:r>
        <w:t xml:space="preserve"> is the bin location of </w:t>
      </w:r>
      <m:oMath>
        <m:r>
          <w:rPr>
            <w:rFonts w:ascii="Cambria Math" w:hAnsi="Cambria Math"/>
          </w:rPr>
          <m:t>i</m:t>
        </m:r>
      </m:oMath>
      <w:r>
        <w:t xml:space="preserve"> (measured as a point in time, ns), </w:t>
      </w:r>
      <m:oMath>
        <m:r>
          <w:rPr>
            <w:rFonts w:ascii="Cambria Math" w:hAnsi="Cambria Math"/>
          </w:rPr>
          <m:t>σ</m:t>
        </m:r>
      </m:oMath>
      <w:r>
        <w:t xml:space="preserve"> is the standard deviation of </w:t>
      </w:r>
      <m:oMath>
        <m:r>
          <w:rPr>
            <w:rFonts w:ascii="Cambria Math" w:hAnsi="Cambria Math"/>
          </w:rPr>
          <m:t>i</m:t>
        </m:r>
      </m:oMath>
      <w:r>
        <w:t xml:space="preserve">, and </w:t>
      </w:r>
      <m:oMath>
        <m:r>
          <w:rPr>
            <w:rFonts w:ascii="Cambria Math" w:hAnsi="Cambria Math"/>
          </w:rPr>
          <m:t>λ</m:t>
        </m:r>
      </m:oMath>
      <w:r>
        <w:t xml:space="preserve"> is a penalty parameter that minimizes model residual over a specified number of iterations.</w:t>
      </w:r>
    </w:p>
    <w:p w14:paraId="006B1FD6" w14:textId="6A088E3D" w:rsidR="00AB6C84" w:rsidRDefault="00AB6C84" w:rsidP="00AB6C84">
      <w:pPr>
        <w:pStyle w:val="Heading2"/>
      </w:pPr>
      <w:r>
        <w:t>Code</w:t>
      </w:r>
    </w:p>
    <w:p w14:paraId="656170FE" w14:textId="12CDE8DD" w:rsidR="00EB554B" w:rsidRDefault="00000000">
      <w:pPr>
        <w:pStyle w:val="FirstParagraph"/>
      </w:pPr>
      <w:r>
        <w:t xml:space="preserve"> Fitting was accomplished using the </w:t>
      </w:r>
      <w:r>
        <w:rPr>
          <w:rStyle w:val="VerbatimChar"/>
        </w:rPr>
        <w:t>nlsLM</w:t>
      </w:r>
      <w:r>
        <w:t xml:space="preserve"> in the R package </w:t>
      </w:r>
      <w:r>
        <w:rPr>
          <w:rStyle w:val="VerbatimChar"/>
        </w:rPr>
        <w:t>minpack.lm</w:t>
      </w:r>
      <w:r>
        <w:t>.</w:t>
      </w:r>
    </w:p>
    <w:p w14:paraId="0DDB1D5C" w14:textId="77777777" w:rsidR="00EB554B" w:rsidRDefault="00000000">
      <w:pPr>
        <w:pStyle w:val="Heading1"/>
      </w:pPr>
      <w:bookmarkStart w:id="9" w:name="results"/>
      <w:bookmarkEnd w:id="5"/>
      <w:bookmarkEnd w:id="7"/>
      <w:bookmarkEnd w:id="8"/>
      <w:r>
        <w:t>3. Results</w:t>
      </w:r>
    </w:p>
    <w:p w14:paraId="2A021988" w14:textId="77777777" w:rsidR="00EB554B" w:rsidRDefault="00000000">
      <w:pPr>
        <w:pStyle w:val="Heading2"/>
      </w:pPr>
      <w:bookmarkStart w:id="10" w:name="field-census-1"/>
      <w:r>
        <w:t>3.1 Field census</w:t>
      </w:r>
    </w:p>
    <w:p w14:paraId="2D9A3858" w14:textId="77777777" w:rsidR="00EB554B" w:rsidRDefault="00000000">
      <w:pPr>
        <w:pStyle w:val="FirstParagraph"/>
      </w:pPr>
      <w:r>
        <w:t>In the 17 sites situated within the NEON LiDAR coverage area, we made observations of 5828 trees, of which 5416 were living at the time of observation. Median height across all species was 5.6 m (s.d. 7.2 m). The large standard deviation suggests a long tail of large-statured trees, consistent with the characteristically negative exponential shape of height frequency distribution curves. Quadratic mean diameter across all species was 18.1 cm. Summary statistics per species and per site appear in Tables 4 and 5, respectively. Diameter distributions across plots and by species appear in Fig. 3.</w:t>
      </w:r>
    </w:p>
    <w:p w14:paraId="10705BD1" w14:textId="77777777" w:rsidR="00EB554B" w:rsidRDefault="00000000">
      <w:pPr>
        <w:pStyle w:val="BodyText"/>
      </w:pPr>
      <w:r>
        <w:lastRenderedPageBreak/>
        <w:t>4163 trees were geotagged with a GPS unit. Another 680 were geolocated by measuring the direction and distance from a geolocated reference tree. In total, 5899 of the 7361 (89.4 percent) of stems surveyed received geotags. Those without geolocations were either dead or less than 3 m in height and fully suppressed beneath the canopy of another tree, so that it was extremely unlikely for tree crown segmentation to differentiate the suppressed tree from the dominant. For geotagged trees, mean horizontal precision as recorded by the GPS unit was 1.01 m (s.d = 0.70 m).</w:t>
      </w:r>
    </w:p>
    <w:p w14:paraId="32A7BF23" w14:textId="17C64FA8" w:rsidR="00C113F3" w:rsidRPr="00195203" w:rsidRDefault="00000000" w:rsidP="00055C12">
      <w:pPr>
        <w:pStyle w:val="Heading1"/>
        <w:rPr>
          <w:rFonts w:ascii="Book Antiqua" w:eastAsiaTheme="minorHAnsi" w:hAnsi="Book Antiqua" w:cstheme="minorBidi"/>
          <w:color w:val="auto"/>
          <w:sz w:val="24"/>
          <w:szCs w:val="24"/>
        </w:rPr>
      </w:pPr>
      <w:bookmarkStart w:id="11" w:name="conclusions"/>
      <w:bookmarkEnd w:id="9"/>
      <w:bookmarkEnd w:id="10"/>
      <w:r>
        <w:t>Conclusions</w:t>
      </w:r>
      <w:bookmarkStart w:id="12" w:name="acknowledgements"/>
      <w:bookmarkEnd w:id="11"/>
      <w:r w:rsidR="00C113F3">
        <w:br w:type="page"/>
      </w:r>
    </w:p>
    <w:p w14:paraId="14D38FFA" w14:textId="0BB4D04D" w:rsidR="004463A3" w:rsidRDefault="004463A3" w:rsidP="00426316">
      <w:pPr>
        <w:pStyle w:val="Heading1"/>
      </w:pPr>
      <w:r w:rsidRPr="00426316">
        <w:lastRenderedPageBreak/>
        <w:t>References</w:t>
      </w:r>
    </w:p>
    <w:p w14:paraId="13472EAF" w14:textId="77777777" w:rsidR="004463A3" w:rsidRDefault="004463A3" w:rsidP="004463A3">
      <w:pPr>
        <w:pStyle w:val="Bibliography"/>
      </w:pPr>
      <w:bookmarkStart w:id="13" w:name="ref-amundson_state_1997"/>
      <w:bookmarkStart w:id="14" w:name="refs"/>
      <w:r>
        <w:t xml:space="preserve">Amundson, R., Jenny, H., 1997. On a State Factor Model of Ecosystems. </w:t>
      </w:r>
      <w:proofErr w:type="spellStart"/>
      <w:r>
        <w:t>BioScience</w:t>
      </w:r>
      <w:proofErr w:type="spellEnd"/>
      <w:r>
        <w:t xml:space="preserve"> 47, 536–543. </w:t>
      </w:r>
      <w:hyperlink r:id="rId8">
        <w:r>
          <w:rPr>
            <w:rStyle w:val="Hyperlink"/>
          </w:rPr>
          <w:t>https://doi.org/10.2307/1313122</w:t>
        </w:r>
      </w:hyperlink>
    </w:p>
    <w:p w14:paraId="2CD6A047" w14:textId="77777777" w:rsidR="004463A3" w:rsidRDefault="004463A3" w:rsidP="004463A3">
      <w:pPr>
        <w:pStyle w:val="Bibliography"/>
      </w:pPr>
      <w:bookmarkStart w:id="15" w:name="ref-bolstad_forests_2018"/>
      <w:bookmarkEnd w:id="13"/>
      <w:proofErr w:type="spellStart"/>
      <w:r>
        <w:t>Bolstad</w:t>
      </w:r>
      <w:proofErr w:type="spellEnd"/>
      <w:r>
        <w:t xml:space="preserve">, P.V., Elliott, K.J., </w:t>
      </w:r>
      <w:proofErr w:type="spellStart"/>
      <w:r>
        <w:t>Miniat</w:t>
      </w:r>
      <w:proofErr w:type="spellEnd"/>
      <w:r>
        <w:t xml:space="preserve">, C.F., 2018. Forests, shrubs, and terrain: Top‐down and bottom‐up controls on forest structure. Ecosphere 9. </w:t>
      </w:r>
      <w:hyperlink r:id="rId9">
        <w:r>
          <w:rPr>
            <w:rStyle w:val="Hyperlink"/>
          </w:rPr>
          <w:t>https://doi.org/10.1002/ecs2.2185</w:t>
        </w:r>
      </w:hyperlink>
    </w:p>
    <w:p w14:paraId="40CFA02E" w14:textId="77777777" w:rsidR="004463A3" w:rsidRDefault="004463A3" w:rsidP="004463A3">
      <w:pPr>
        <w:pStyle w:val="Bibliography"/>
      </w:pPr>
      <w:bookmarkStart w:id="16" w:name="ref-dalponte_tree-centric_2016"/>
      <w:bookmarkEnd w:id="15"/>
      <w:proofErr w:type="spellStart"/>
      <w:r>
        <w:t>Dalponte</w:t>
      </w:r>
      <w:proofErr w:type="spellEnd"/>
      <w:r>
        <w:t xml:space="preserve">, M., </w:t>
      </w:r>
      <w:proofErr w:type="spellStart"/>
      <w:r>
        <w:t>Coomes</w:t>
      </w:r>
      <w:proofErr w:type="spellEnd"/>
      <w:r>
        <w:t xml:space="preserve">, D.A., 2016. Tree-centric mapping of forest carbon density from airborne laser scanning and hyperspectral data. Methods in Ecology and Evolution 7, 1236–1245. </w:t>
      </w:r>
      <w:hyperlink r:id="rId10">
        <w:r>
          <w:rPr>
            <w:rStyle w:val="Hyperlink"/>
          </w:rPr>
          <w:t>https://doi.org/10.1111/2041-210X.12575</w:t>
        </w:r>
      </w:hyperlink>
    </w:p>
    <w:p w14:paraId="7840DD20" w14:textId="77777777" w:rsidR="004463A3" w:rsidRDefault="004463A3" w:rsidP="004463A3">
      <w:pPr>
        <w:pStyle w:val="Bibliography"/>
      </w:pPr>
      <w:bookmarkStart w:id="17" w:name="ref-jenny_derivation_1961"/>
      <w:bookmarkEnd w:id="16"/>
      <w:r>
        <w:t xml:space="preserve">Jenny, H., 1961. Derivation of State Factor Equations of Soils and Ecosystems. Soil Science Society of America Journal 25, 385–388. </w:t>
      </w:r>
      <w:hyperlink r:id="rId11">
        <w:r>
          <w:rPr>
            <w:rStyle w:val="Hyperlink"/>
          </w:rPr>
          <w:t>https://doi.org/10.2136/sssaj1961.03615995002500050023x</w:t>
        </w:r>
      </w:hyperlink>
    </w:p>
    <w:p w14:paraId="6B6FFB59" w14:textId="77777777" w:rsidR="004463A3" w:rsidRDefault="004463A3" w:rsidP="004463A3">
      <w:pPr>
        <w:pStyle w:val="Bibliography"/>
      </w:pPr>
      <w:bookmarkStart w:id="18" w:name="ref-kane_water_2015"/>
      <w:bookmarkEnd w:id="17"/>
      <w:r>
        <w:t xml:space="preserve">Kane, V.R., Lutz, J.A., Alina </w:t>
      </w:r>
      <w:proofErr w:type="spellStart"/>
      <w:r>
        <w:t>Cansler</w:t>
      </w:r>
      <w:proofErr w:type="spellEnd"/>
      <w:r>
        <w:t xml:space="preserve">, C., </w:t>
      </w:r>
      <w:proofErr w:type="spellStart"/>
      <w:r>
        <w:t>Povak</w:t>
      </w:r>
      <w:proofErr w:type="spellEnd"/>
      <w:r>
        <w:t xml:space="preserve">, N.A., Churchill, D.J., Smith, D.F., Kane, J.T., North, M.P., 2015. Water balance and topography predict fire and forest structure patterns. Forest Ecology and Management 338, 1–13. </w:t>
      </w:r>
      <w:hyperlink r:id="rId12">
        <w:r>
          <w:rPr>
            <w:rStyle w:val="Hyperlink"/>
          </w:rPr>
          <w:t>https://doi.org/10.1016/j.foreco.2014.10.038</w:t>
        </w:r>
      </w:hyperlink>
    </w:p>
    <w:p w14:paraId="420A86BC" w14:textId="77777777" w:rsidR="004463A3" w:rsidRDefault="004463A3" w:rsidP="004463A3">
      <w:pPr>
        <w:pStyle w:val="Bibliography"/>
      </w:pPr>
      <w:bookmarkStart w:id="19" w:name="ref-lookingbill_empirical_2004"/>
      <w:bookmarkEnd w:id="18"/>
      <w:proofErr w:type="spellStart"/>
      <w:r>
        <w:t>Lookingbill</w:t>
      </w:r>
      <w:proofErr w:type="spellEnd"/>
      <w:r>
        <w:t xml:space="preserve">, T., Urban, D., 2004. An empirical approach towards improved spatial estimates of soil moisture for vegetation analysis. Landscape Ecology 19, 417–433. </w:t>
      </w:r>
      <w:hyperlink r:id="rId13">
        <w:r>
          <w:rPr>
            <w:rStyle w:val="Hyperlink"/>
          </w:rPr>
          <w:t>https://doi.org/10.1023/B:LAND.0000030451.29571.8b</w:t>
        </w:r>
      </w:hyperlink>
    </w:p>
    <w:p w14:paraId="28DFA873" w14:textId="77777777" w:rsidR="004463A3" w:rsidRDefault="004463A3" w:rsidP="004463A3">
      <w:pPr>
        <w:pStyle w:val="Bibliography"/>
      </w:pPr>
      <w:bookmarkStart w:id="20" w:name="ref-lydersen_topographic_2012"/>
      <w:bookmarkEnd w:id="19"/>
      <w:proofErr w:type="spellStart"/>
      <w:r>
        <w:t>Lydersen</w:t>
      </w:r>
      <w:proofErr w:type="spellEnd"/>
      <w:r>
        <w:t xml:space="preserve">, J., North, M., 2012. Topographic Variation in Structure of Mixed-Conifer Forests Under an Active-Fire Regime. Ecosystems 15, 1134–1146. </w:t>
      </w:r>
      <w:hyperlink r:id="rId14">
        <w:r>
          <w:rPr>
            <w:rStyle w:val="Hyperlink"/>
          </w:rPr>
          <w:t>https://doi.org/10.1007/s10021-012-9573-8</w:t>
        </w:r>
      </w:hyperlink>
    </w:p>
    <w:p w14:paraId="274E0890" w14:textId="77777777" w:rsidR="004463A3" w:rsidRDefault="004463A3" w:rsidP="004463A3">
      <w:pPr>
        <w:pStyle w:val="Bibliography"/>
      </w:pPr>
      <w:bookmarkStart w:id="21" w:name="ref-mcnab_topographic_1993"/>
      <w:bookmarkEnd w:id="20"/>
      <w:r>
        <w:t xml:space="preserve">McNab, W.H., 1993. A topographic index to quantify the effect of mesoscale landform on site productivity. Canadian Journal of Forest Research 23, 1100–1107. </w:t>
      </w:r>
      <w:hyperlink r:id="rId15">
        <w:r>
          <w:rPr>
            <w:rStyle w:val="Hyperlink"/>
          </w:rPr>
          <w:t>https://doi.org/10.1139/x93-140</w:t>
        </w:r>
      </w:hyperlink>
    </w:p>
    <w:p w14:paraId="59765FCF" w14:textId="77777777" w:rsidR="00EB554B" w:rsidRDefault="00000000" w:rsidP="00BB173A">
      <w:pPr>
        <w:pStyle w:val="Heading1"/>
      </w:pPr>
      <w:bookmarkStart w:id="22" w:name="figures-and-tables"/>
      <w:bookmarkEnd w:id="12"/>
      <w:bookmarkEnd w:id="14"/>
      <w:bookmarkEnd w:id="21"/>
      <w:r>
        <w:lastRenderedPageBreak/>
        <w:t xml:space="preserve">Figures and </w:t>
      </w:r>
      <w:r w:rsidRPr="00BB173A">
        <w:t>Tables</w:t>
      </w:r>
    </w:p>
    <w:p w14:paraId="2D4672D3" w14:textId="511AD0EC" w:rsidR="00EB554B" w:rsidRDefault="00000000">
      <w:pPr>
        <w:pStyle w:val="Heading2"/>
      </w:pPr>
      <w:bookmarkStart w:id="23" w:name="figure-1"/>
      <w:r>
        <w:t>Figure</w:t>
      </w:r>
    </w:p>
    <w:p w14:paraId="3F39B748" w14:textId="77777777" w:rsidR="006D39CE" w:rsidRDefault="00000000" w:rsidP="00C113F3">
      <w:pPr>
        <w:pStyle w:val="BodyText"/>
      </w:pPr>
      <w:r>
        <w:rPr>
          <w:noProof/>
        </w:rPr>
        <w:drawing>
          <wp:inline distT="0" distB="0" distL="0" distR="0" wp14:anchorId="1AA833A6" wp14:editId="41D226B2">
            <wp:extent cx="5334000" cy="300037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Fig1.png"/>
                    <pic:cNvPicPr>
                      <a:picLocks noChangeAspect="1" noChangeArrowheads="1"/>
                    </pic:cNvPicPr>
                  </pic:nvPicPr>
                  <pic:blipFill>
                    <a:blip r:embed="rId16"/>
                    <a:stretch>
                      <a:fillRect/>
                    </a:stretch>
                  </pic:blipFill>
                  <pic:spPr bwMode="auto">
                    <a:xfrm>
                      <a:off x="0" y="0"/>
                      <a:ext cx="5334000" cy="3000375"/>
                    </a:xfrm>
                    <a:prstGeom prst="rect">
                      <a:avLst/>
                    </a:prstGeom>
                    <a:noFill/>
                    <a:ln w="9525">
                      <a:noFill/>
                      <a:headEnd/>
                      <a:tailEnd/>
                    </a:ln>
                  </pic:spPr>
                </pic:pic>
              </a:graphicData>
            </a:graphic>
          </wp:inline>
        </w:drawing>
      </w:r>
      <w:r>
        <w:t xml:space="preserve"> </w:t>
      </w:r>
    </w:p>
    <w:p w14:paraId="02AFCE57" w14:textId="421F20CA" w:rsidR="00EB554B" w:rsidRDefault="00000000">
      <w:pPr>
        <w:pStyle w:val="FirstParagraph"/>
      </w:pPr>
      <w:r>
        <w:rPr>
          <w:b/>
          <w:bCs/>
        </w:rPr>
        <w:t>Figure 1.</w:t>
      </w:r>
      <w:r>
        <w:t xml:space="preserve"> The study domain spans the footprint of a June 2018 NEON AOP acquisition in the East River watershed in western Colorado. Dots indicate the locations of 0.16 ha conifer forest inventory plots. Shading is by elevation. </w:t>
      </w:r>
    </w:p>
    <w:p w14:paraId="2D8B903C" w14:textId="77777777" w:rsidR="00EB554B" w:rsidRDefault="00000000">
      <w:r>
        <w:br w:type="page"/>
      </w:r>
    </w:p>
    <w:p w14:paraId="5E292337" w14:textId="271942C7" w:rsidR="00EB554B" w:rsidRDefault="00000000" w:rsidP="00BB173A">
      <w:pPr>
        <w:pStyle w:val="Heading1"/>
      </w:pPr>
      <w:bookmarkStart w:id="24" w:name="table-1"/>
      <w:bookmarkEnd w:id="23"/>
      <w:r>
        <w:lastRenderedPageBreak/>
        <w:t>Table</w:t>
      </w:r>
    </w:p>
    <w:p w14:paraId="6B38E885" w14:textId="77777777" w:rsidR="00EB554B" w:rsidRDefault="00000000" w:rsidP="00A73F44">
      <w:pPr>
        <w:pStyle w:val="TableCaption"/>
      </w:pPr>
      <w:r>
        <w:rPr>
          <w:b/>
          <w:bCs/>
        </w:rPr>
        <w:t>Table 1.</w:t>
      </w:r>
      <w:r>
        <w:t xml:space="preserve"> Description and units of topographic variables used for field plot selection.</w:t>
      </w:r>
    </w:p>
    <w:tbl>
      <w:tblPr>
        <w:tblStyle w:val="PaperTable"/>
        <w:tblW w:w="5000" w:type="pct"/>
        <w:tblLook w:val="0020" w:firstRow="1" w:lastRow="0" w:firstColumn="0" w:lastColumn="0" w:noHBand="0" w:noVBand="0"/>
      </w:tblPr>
      <w:tblGrid>
        <w:gridCol w:w="2101"/>
        <w:gridCol w:w="6303"/>
        <w:gridCol w:w="1300"/>
      </w:tblGrid>
      <w:tr w:rsidR="00A43719" w14:paraId="47F2AB1A" w14:textId="77777777" w:rsidTr="00A43719">
        <w:trPr>
          <w:cnfStyle w:val="100000000000" w:firstRow="1" w:lastRow="0" w:firstColumn="0" w:lastColumn="0" w:oddVBand="0" w:evenVBand="0" w:oddHBand="0" w:evenHBand="0" w:firstRowFirstColumn="0" w:firstRowLastColumn="0" w:lastRowFirstColumn="0" w:lastRowLastColumn="0"/>
        </w:trPr>
        <w:tc>
          <w:tcPr>
            <w:tcW w:w="0" w:type="auto"/>
          </w:tcPr>
          <w:p w14:paraId="013D139B" w14:textId="77777777" w:rsidR="00EB554B" w:rsidRDefault="00000000">
            <w:pPr>
              <w:pStyle w:val="Compact"/>
            </w:pPr>
            <w:r>
              <w:t>Variable</w:t>
            </w:r>
          </w:p>
        </w:tc>
        <w:tc>
          <w:tcPr>
            <w:tcW w:w="0" w:type="auto"/>
          </w:tcPr>
          <w:p w14:paraId="1F25DA55" w14:textId="77777777" w:rsidR="00EB554B" w:rsidRDefault="00000000">
            <w:pPr>
              <w:pStyle w:val="Compact"/>
            </w:pPr>
            <w:r>
              <w:t>Description</w:t>
            </w:r>
          </w:p>
        </w:tc>
        <w:tc>
          <w:tcPr>
            <w:tcW w:w="0" w:type="auto"/>
          </w:tcPr>
          <w:p w14:paraId="0A35AB20" w14:textId="77777777" w:rsidR="00EB554B" w:rsidRDefault="00000000">
            <w:pPr>
              <w:pStyle w:val="Compact"/>
            </w:pPr>
            <w:r>
              <w:t>Units</w:t>
            </w:r>
          </w:p>
        </w:tc>
      </w:tr>
      <w:tr w:rsidR="00A43719" w14:paraId="02229981" w14:textId="77777777" w:rsidTr="00A43719">
        <w:tc>
          <w:tcPr>
            <w:tcW w:w="0" w:type="auto"/>
          </w:tcPr>
          <w:p w14:paraId="439AD6AE" w14:textId="77777777" w:rsidR="00EB554B" w:rsidRDefault="00000000">
            <w:pPr>
              <w:pStyle w:val="Compact"/>
            </w:pPr>
            <w:r>
              <w:t>Elevation</w:t>
            </w:r>
          </w:p>
        </w:tc>
        <w:tc>
          <w:tcPr>
            <w:tcW w:w="0" w:type="auto"/>
          </w:tcPr>
          <w:p w14:paraId="262AA548" w14:textId="77777777" w:rsidR="00EB554B" w:rsidRDefault="00000000">
            <w:pPr>
              <w:pStyle w:val="Compact"/>
            </w:pPr>
            <w:r>
              <w:t>Elevation above sea level</w:t>
            </w:r>
          </w:p>
        </w:tc>
        <w:tc>
          <w:tcPr>
            <w:tcW w:w="0" w:type="auto"/>
          </w:tcPr>
          <w:p w14:paraId="4D138D5A" w14:textId="77777777" w:rsidR="00EB554B" w:rsidRDefault="00000000">
            <w:pPr>
              <w:pStyle w:val="Compact"/>
            </w:pPr>
            <w:r>
              <w:t>m</w:t>
            </w:r>
          </w:p>
        </w:tc>
      </w:tr>
      <w:tr w:rsidR="00A43719" w14:paraId="48ED9CF2" w14:textId="77777777" w:rsidTr="00A43719">
        <w:tc>
          <w:tcPr>
            <w:tcW w:w="0" w:type="auto"/>
          </w:tcPr>
          <w:p w14:paraId="04679B3F" w14:textId="77777777" w:rsidR="00EB554B" w:rsidRDefault="00000000">
            <w:pPr>
              <w:pStyle w:val="Compact"/>
            </w:pPr>
            <w:r>
              <w:t>Slope</w:t>
            </w:r>
          </w:p>
        </w:tc>
        <w:tc>
          <w:tcPr>
            <w:tcW w:w="0" w:type="auto"/>
          </w:tcPr>
          <w:p w14:paraId="15BB67E7" w14:textId="77777777" w:rsidR="00EB554B" w:rsidRDefault="00000000">
            <w:pPr>
              <w:pStyle w:val="Compact"/>
            </w:pPr>
            <w:r>
              <w:t>dy/dx computed in a 30 m window</w:t>
            </w:r>
          </w:p>
        </w:tc>
        <w:tc>
          <w:tcPr>
            <w:tcW w:w="0" w:type="auto"/>
          </w:tcPr>
          <w:p w14:paraId="518DD33D" w14:textId="77777777" w:rsidR="00EB554B" w:rsidRDefault="00000000">
            <w:pPr>
              <w:pStyle w:val="Compact"/>
            </w:pPr>
            <w:r>
              <w:t>degrees</w:t>
            </w:r>
          </w:p>
        </w:tc>
      </w:tr>
      <w:tr w:rsidR="00A43719" w14:paraId="5D8A6B6E" w14:textId="77777777" w:rsidTr="00A43719">
        <w:tc>
          <w:tcPr>
            <w:tcW w:w="0" w:type="auto"/>
          </w:tcPr>
          <w:p w14:paraId="5EAAC089" w14:textId="77777777" w:rsidR="00EB554B" w:rsidRDefault="00000000">
            <w:pPr>
              <w:pStyle w:val="Compact"/>
            </w:pPr>
            <w:r>
              <w:t>Folded aspect</w:t>
            </w:r>
          </w:p>
        </w:tc>
        <w:tc>
          <w:tcPr>
            <w:tcW w:w="0" w:type="auto"/>
          </w:tcPr>
          <w:p w14:paraId="57A932B1" w14:textId="77777777" w:rsidR="00EB554B" w:rsidRDefault="00000000">
            <w:pPr>
              <w:pStyle w:val="Compact"/>
            </w:pPr>
            <w:r>
              <w:t>Index of cardinal aspect adjusted for higher incident radiation on SW slopes</w:t>
            </w:r>
          </w:p>
        </w:tc>
        <w:tc>
          <w:tcPr>
            <w:tcW w:w="0" w:type="auto"/>
          </w:tcPr>
          <w:p w14:paraId="110A91DC" w14:textId="77777777" w:rsidR="00EB554B" w:rsidRDefault="00000000">
            <w:pPr>
              <w:pStyle w:val="Compact"/>
            </w:pPr>
            <w:r>
              <w:t>unitless index</w:t>
            </w:r>
          </w:p>
        </w:tc>
      </w:tr>
      <w:tr w:rsidR="00A43719" w14:paraId="0B2D33B3" w14:textId="77777777" w:rsidTr="00A43719">
        <w:tc>
          <w:tcPr>
            <w:tcW w:w="0" w:type="auto"/>
          </w:tcPr>
          <w:p w14:paraId="224831E1" w14:textId="77777777" w:rsidR="00EB554B" w:rsidRDefault="00000000">
            <w:pPr>
              <w:pStyle w:val="Compact"/>
            </w:pPr>
            <w:r>
              <w:t>Heat load</w:t>
            </w:r>
          </w:p>
        </w:tc>
        <w:tc>
          <w:tcPr>
            <w:tcW w:w="0" w:type="auto"/>
          </w:tcPr>
          <w:p w14:paraId="46AE5330" w14:textId="77777777" w:rsidR="00EB554B" w:rsidRDefault="00000000">
            <w:pPr>
              <w:pStyle w:val="Compact"/>
            </w:pPr>
            <w:r>
              <w:t>Potential heat load calculated according to Eq. 3 in McCune and Keon (2002)</w:t>
            </w:r>
          </w:p>
        </w:tc>
        <w:tc>
          <w:tcPr>
            <w:tcW w:w="0" w:type="auto"/>
          </w:tcPr>
          <w:p w14:paraId="28BA3919" w14:textId="77777777" w:rsidR="00EB554B" w:rsidRDefault="00000000">
            <w:pPr>
              <w:pStyle w:val="Compact"/>
            </w:pPr>
            <w:r>
              <w:t>unitless index</w:t>
            </w:r>
          </w:p>
        </w:tc>
      </w:tr>
      <w:tr w:rsidR="00A43719" w14:paraId="3E446D39" w14:textId="77777777" w:rsidTr="00A43719">
        <w:tc>
          <w:tcPr>
            <w:tcW w:w="0" w:type="auto"/>
          </w:tcPr>
          <w:p w14:paraId="602515AB" w14:textId="08644AB4" w:rsidR="00EB554B" w:rsidRDefault="00000000">
            <w:pPr>
              <w:pStyle w:val="Compact"/>
            </w:pPr>
            <w:r>
              <w:t>Topographic position index</w:t>
            </w:r>
          </w:p>
        </w:tc>
        <w:tc>
          <w:tcPr>
            <w:tcW w:w="0" w:type="auto"/>
          </w:tcPr>
          <w:p w14:paraId="09BD3171" w14:textId="77777777" w:rsidR="00EB554B" w:rsidRDefault="00000000">
            <w:pPr>
              <w:pStyle w:val="Compact"/>
            </w:pPr>
            <w:r>
              <w:t>Index of hillslope position (summit, shoulder, backslope, footslope, and toeslope) computed in 1000 m window</w:t>
            </w:r>
          </w:p>
        </w:tc>
        <w:tc>
          <w:tcPr>
            <w:tcW w:w="0" w:type="auto"/>
          </w:tcPr>
          <w:p w14:paraId="3A1E7A3E" w14:textId="77777777" w:rsidR="00EB554B" w:rsidRDefault="00000000">
            <w:pPr>
              <w:pStyle w:val="Compact"/>
            </w:pPr>
            <w:r>
              <w:t>unitless index</w:t>
            </w:r>
          </w:p>
        </w:tc>
      </w:tr>
      <w:tr w:rsidR="00A43719" w14:paraId="0B51B89C" w14:textId="77777777" w:rsidTr="00A43719">
        <w:tc>
          <w:tcPr>
            <w:tcW w:w="0" w:type="auto"/>
          </w:tcPr>
          <w:p w14:paraId="621EEF3C" w14:textId="77777777" w:rsidR="00EB554B" w:rsidRDefault="00000000">
            <w:pPr>
              <w:pStyle w:val="Compact"/>
            </w:pPr>
            <w:r>
              <w:t>Topographic wetness index</w:t>
            </w:r>
          </w:p>
        </w:tc>
        <w:tc>
          <w:tcPr>
            <w:tcW w:w="0" w:type="auto"/>
          </w:tcPr>
          <w:p w14:paraId="57CCAE3B" w14:textId="77777777" w:rsidR="00EB554B" w:rsidRDefault="00000000">
            <w:pPr>
              <w:pStyle w:val="Compact"/>
            </w:pPr>
            <w:r>
              <w:t>Terrain-driven balance of upslope water supply and local drainage (a function of local slope and upslope contributing area per unit contour length)</w:t>
            </w:r>
          </w:p>
        </w:tc>
        <w:tc>
          <w:tcPr>
            <w:tcW w:w="0" w:type="auto"/>
          </w:tcPr>
          <w:p w14:paraId="6244FAAD" w14:textId="77777777" w:rsidR="00EB554B" w:rsidRDefault="00000000">
            <w:pPr>
              <w:pStyle w:val="Compact"/>
            </w:pPr>
            <w:r>
              <w:t>unitless index</w:t>
            </w:r>
          </w:p>
        </w:tc>
      </w:tr>
    </w:tbl>
    <w:p w14:paraId="5923F284" w14:textId="77777777" w:rsidR="00EB554B" w:rsidRDefault="00000000">
      <w:r>
        <w:br w:type="page"/>
      </w:r>
    </w:p>
    <w:p w14:paraId="7A940417" w14:textId="6C33DA42" w:rsidR="00A107A8" w:rsidRPr="00A107A8" w:rsidRDefault="00A706B6" w:rsidP="00BB173A">
      <w:pPr>
        <w:pStyle w:val="Heading1"/>
      </w:pPr>
      <w:bookmarkStart w:id="25" w:name="X2fa2db88c3aecef249b76037dbeaf92e2ed8354"/>
      <w:bookmarkEnd w:id="24"/>
      <w:r>
        <w:lastRenderedPageBreak/>
        <w:t>Code</w:t>
      </w:r>
      <w:r w:rsidR="00C232D0">
        <w:t xml:space="preserve"> block</w:t>
      </w:r>
    </w:p>
    <w:p w14:paraId="442A0254" w14:textId="23F77A20" w:rsidR="00EB554B" w:rsidRPr="00AB6C84" w:rsidRDefault="00000000" w:rsidP="00AB6C84">
      <w:pPr>
        <w:pStyle w:val="SourceCode"/>
      </w:pPr>
      <w:proofErr w:type="spellStart"/>
      <w:r>
        <w:rPr>
          <w:rStyle w:val="FunctionTok"/>
        </w:rPr>
        <w:t>kable</w:t>
      </w:r>
      <w:proofErr w:type="spellEnd"/>
      <w:r>
        <w:rPr>
          <w:rStyle w:val="NormalTok"/>
        </w:rPr>
        <w:t>(</w:t>
      </w:r>
      <w:proofErr w:type="spellStart"/>
      <w:r>
        <w:rPr>
          <w:rStyle w:val="NormalTok"/>
        </w:rPr>
        <w:t>full_unq_inv</w:t>
      </w:r>
      <w:proofErr w:type="spellEnd"/>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w:t>
      </w:r>
      <w:proofErr w:type="spellStart"/>
      <w:r>
        <w:rPr>
          <w:rStyle w:val="NormalTok"/>
        </w:rPr>
        <w:t>Sp_Code</w:t>
      </w:r>
      <w:proofErr w:type="spellEnd"/>
      <w:r>
        <w:rPr>
          <w:rStyle w:val="NormalTok"/>
        </w:rPr>
        <w:t xml:space="preserve">) </w:t>
      </w:r>
      <w:r>
        <w:rPr>
          <w:rStyle w:val="SpecialCharTok"/>
        </w:rPr>
        <w:t>%&gt;%</w:t>
      </w:r>
      <w:r>
        <w:br/>
      </w:r>
      <w:r>
        <w:rPr>
          <w:rStyle w:val="NormalTok"/>
        </w:rPr>
        <w:t xml:space="preserve">  </w:t>
      </w:r>
      <w:r>
        <w:rPr>
          <w:rStyle w:val="FunctionTok"/>
        </w:rPr>
        <w:t>summarise</w:t>
      </w:r>
      <w:r>
        <w:rPr>
          <w:rStyle w:val="NormalTok"/>
        </w:rPr>
        <w:t>(</w:t>
      </w:r>
      <w:r>
        <w:rPr>
          <w:rStyle w:val="StringTok"/>
        </w:rPr>
        <w:t>'N'</w:t>
      </w:r>
      <w:r>
        <w:rPr>
          <w:rStyle w:val="OtherTok"/>
        </w:rPr>
        <w:t>=</w:t>
      </w:r>
      <w:r>
        <w:rPr>
          <w:rStyle w:val="FunctionTok"/>
        </w:rPr>
        <w:t>n</w:t>
      </w:r>
      <w:r>
        <w:rPr>
          <w:rStyle w:val="NormalTok"/>
        </w:rPr>
        <w:t>(),</w:t>
      </w:r>
      <w:r>
        <w:br/>
      </w:r>
      <w:r>
        <w:rPr>
          <w:rStyle w:val="NormalTok"/>
        </w:rPr>
        <w:t xml:space="preserve">            </w:t>
      </w:r>
      <w:r>
        <w:rPr>
          <w:rStyle w:val="StringTok"/>
        </w:rPr>
        <w:t>'Median height (m)'</w:t>
      </w:r>
      <w:r>
        <w:rPr>
          <w:rStyle w:val="OtherTok"/>
        </w:rPr>
        <w:t>=</w:t>
      </w:r>
      <w:r>
        <w:rPr>
          <w:rStyle w:val="FunctionTok"/>
        </w:rPr>
        <w:t>round</w:t>
      </w:r>
      <w:r>
        <w:rPr>
          <w:rStyle w:val="NormalTok"/>
        </w:rPr>
        <w:t>(</w:t>
      </w:r>
      <w:r>
        <w:rPr>
          <w:rStyle w:val="FunctionTok"/>
        </w:rPr>
        <w:t>median</w:t>
      </w:r>
      <w:r>
        <w:rPr>
          <w:rStyle w:val="NormalTok"/>
        </w:rPr>
        <w:t xml:space="preserve">(Height_Avg_M, </w:t>
      </w:r>
      <w:r>
        <w:rPr>
          <w:rStyle w:val="AttributeTok"/>
        </w:rPr>
        <w:t>na.rm=</w:t>
      </w:r>
      <w:r>
        <w:rPr>
          <w:rStyle w:val="NormalTok"/>
        </w:rPr>
        <w:t>T),</w:t>
      </w:r>
      <w:r>
        <w:rPr>
          <w:rStyle w:val="DecValTok"/>
        </w:rPr>
        <w:t>0</w:t>
      </w:r>
      <w:r>
        <w:rPr>
          <w:rStyle w:val="NormalTok"/>
        </w:rPr>
        <w:t>),</w:t>
      </w:r>
      <w:r>
        <w:br/>
      </w:r>
      <w:r>
        <w:rPr>
          <w:rStyle w:val="NormalTok"/>
        </w:rPr>
        <w:t xml:space="preserve">            </w:t>
      </w:r>
      <w:r>
        <w:rPr>
          <w:rStyle w:val="StringTok"/>
        </w:rPr>
        <w:t>'Median DBH (cm)'</w:t>
      </w:r>
      <w:r>
        <w:rPr>
          <w:rStyle w:val="OtherTok"/>
        </w:rPr>
        <w:t>=</w:t>
      </w:r>
      <w:r>
        <w:rPr>
          <w:rStyle w:val="FunctionTok"/>
        </w:rPr>
        <w:t>round</w:t>
      </w:r>
      <w:r>
        <w:rPr>
          <w:rStyle w:val="NormalTok"/>
        </w:rPr>
        <w:t>(</w:t>
      </w:r>
      <w:r>
        <w:rPr>
          <w:rStyle w:val="FunctionTok"/>
        </w:rPr>
        <w:t>median</w:t>
      </w:r>
      <w:r>
        <w:rPr>
          <w:rStyle w:val="NormalTok"/>
        </w:rPr>
        <w:t xml:space="preserve">(DBH_Avg_CM, </w:t>
      </w:r>
      <w:r>
        <w:rPr>
          <w:rStyle w:val="AttributeTok"/>
        </w:rPr>
        <w:t>na.rm=</w:t>
      </w:r>
      <w:r>
        <w:rPr>
          <w:rStyle w:val="NormalTok"/>
        </w:rPr>
        <w:t>T),</w:t>
      </w:r>
      <w:r>
        <w:rPr>
          <w:rStyle w:val="DecValTok"/>
        </w:rPr>
        <w:t>1</w:t>
      </w:r>
      <w:r>
        <w:rPr>
          <w:rStyle w:val="NormalTok"/>
        </w:rPr>
        <w:t>),</w:t>
      </w:r>
      <w:r>
        <w:br/>
      </w:r>
      <w:r>
        <w:rPr>
          <w:rStyle w:val="NormalTok"/>
        </w:rPr>
        <w:t xml:space="preserve">            </w:t>
      </w:r>
      <w:r>
        <w:rPr>
          <w:rStyle w:val="StringTok"/>
        </w:rPr>
        <w:t>'Stem Density (stems ha^-1)'</w:t>
      </w:r>
      <w:r>
        <w:rPr>
          <w:rStyle w:val="OtherTok"/>
        </w:rPr>
        <w:t>=</w:t>
      </w:r>
      <w:r>
        <w:rPr>
          <w:rStyle w:val="FunctionTok"/>
        </w:rPr>
        <w:t>round</w:t>
      </w:r>
      <w:r>
        <w:rPr>
          <w:rStyle w:val="NormalTok"/>
        </w:rPr>
        <w:t>(</w:t>
      </w:r>
      <w:r>
        <w:rPr>
          <w:rStyle w:val="FunctionTok"/>
        </w:rPr>
        <w:t>n</w:t>
      </w:r>
      <w:r>
        <w:rPr>
          <w:rStyle w:val="NormalTok"/>
        </w:rPr>
        <w:t>()</w:t>
      </w:r>
      <w:r>
        <w:rPr>
          <w:rStyle w:val="SpecialCharTok"/>
        </w:rPr>
        <w:t>/</w:t>
      </w:r>
      <w:r>
        <w:rPr>
          <w:rStyle w:val="FloatTok"/>
        </w:rPr>
        <w:t>2.72</w:t>
      </w:r>
      <w:r>
        <w:rPr>
          <w:rStyle w:val="NormalTok"/>
        </w:rPr>
        <w:t>,</w:t>
      </w:r>
      <w:r>
        <w:rPr>
          <w:rStyle w:val="DecValTok"/>
        </w:rPr>
        <w:t>0</w:t>
      </w:r>
      <w:r>
        <w:rPr>
          <w:rStyle w:val="NormalTok"/>
        </w:rPr>
        <w:t>),</w:t>
      </w:r>
      <w:r>
        <w:br/>
      </w:r>
      <w:r>
        <w:rPr>
          <w:rStyle w:val="NormalTok"/>
        </w:rPr>
        <w:t xml:space="preserve">            </w:t>
      </w:r>
      <w:r>
        <w:rPr>
          <w:rStyle w:val="StringTok"/>
        </w:rPr>
        <w:t>'Basal area (m^2 ha^-1)'</w:t>
      </w:r>
      <w:r>
        <w:rPr>
          <w:rStyle w:val="OtherTok"/>
        </w:rPr>
        <w:t>=</w:t>
      </w:r>
      <w:r>
        <w:rPr>
          <w:rStyle w:val="FunctionTok"/>
        </w:rPr>
        <w:t>round</w:t>
      </w:r>
      <w:r>
        <w:rPr>
          <w:rStyle w:val="NormalTok"/>
        </w:rPr>
        <w:t>(</w:t>
      </w:r>
      <w:r>
        <w:rPr>
          <w:rStyle w:val="FunctionTok"/>
        </w:rPr>
        <w:t>sum</w:t>
      </w:r>
      <w:r>
        <w:rPr>
          <w:rStyle w:val="NormalTok"/>
        </w:rPr>
        <w:t>(pi</w:t>
      </w:r>
      <w:r>
        <w:rPr>
          <w:rStyle w:val="SpecialCharTok"/>
        </w:rPr>
        <w:t>*</w:t>
      </w:r>
      <w:r>
        <w:rPr>
          <w:rStyle w:val="NormalTok"/>
        </w:rPr>
        <w:t>(DBH_Avg_CM</w:t>
      </w:r>
      <w:r>
        <w:rPr>
          <w:rStyle w:val="SpecialCharTok"/>
        </w:rPr>
        <w:t>/</w:t>
      </w:r>
      <w:r>
        <w:rPr>
          <w:rStyle w:val="DecValTok"/>
        </w:rPr>
        <w:t>2</w:t>
      </w:r>
      <w:r>
        <w:rPr>
          <w:rStyle w:val="NormalTok"/>
        </w:rPr>
        <w:t>)</w:t>
      </w:r>
      <w:r>
        <w:rPr>
          <w:rStyle w:val="SpecialCharTok"/>
        </w:rPr>
        <w:t>^</w:t>
      </w:r>
      <w:r>
        <w:rPr>
          <w:rStyle w:val="DecValTok"/>
        </w:rPr>
        <w:t>2</w:t>
      </w:r>
      <w:r>
        <w:rPr>
          <w:rStyle w:val="NormalTok"/>
        </w:rPr>
        <w:t xml:space="preserve">, </w:t>
      </w:r>
      <w:r>
        <w:rPr>
          <w:rStyle w:val="AttributeTok"/>
        </w:rPr>
        <w:t>na.rm=</w:t>
      </w:r>
      <w:r>
        <w:rPr>
          <w:rStyle w:val="NormalTok"/>
        </w:rPr>
        <w:t>T)</w:t>
      </w:r>
      <w:r>
        <w:rPr>
          <w:rStyle w:val="SpecialCharTok"/>
        </w:rPr>
        <w:t>/</w:t>
      </w:r>
      <w:r>
        <w:rPr>
          <w:rStyle w:val="FloatTok"/>
        </w:rPr>
        <w:t>2.72</w:t>
      </w:r>
      <w:r>
        <w:rPr>
          <w:rStyle w:val="SpecialCharTok"/>
        </w:rPr>
        <w:t>*</w:t>
      </w:r>
      <w:r>
        <w:rPr>
          <w:rStyle w:val="NormalTok"/>
        </w:rPr>
        <w:t>(</w:t>
      </w:r>
      <w:r>
        <w:rPr>
          <w:rStyle w:val="DecValTok"/>
        </w:rPr>
        <w:t>10</w:t>
      </w:r>
      <w:r>
        <w:rPr>
          <w:rStyle w:val="SpecialCharTok"/>
        </w:rPr>
        <w:t>^-</w:t>
      </w:r>
      <w:r>
        <w:rPr>
          <w:rStyle w:val="DecValTok"/>
        </w:rPr>
        <w:t>4</w:t>
      </w:r>
      <w:r>
        <w:rPr>
          <w:rStyle w:val="NormalTok"/>
        </w:rPr>
        <w:t>),</w:t>
      </w:r>
      <w:r>
        <w:rPr>
          <w:rStyle w:val="DecValTok"/>
        </w:rPr>
        <w:t>1</w:t>
      </w:r>
      <w:r>
        <w:rPr>
          <w:rStyle w:val="NormalTok"/>
        </w:rPr>
        <w:t>)))</w:t>
      </w:r>
      <w:bookmarkEnd w:id="22"/>
      <w:bookmarkEnd w:id="25"/>
    </w:p>
    <w:sectPr w:rsidR="00EB554B" w:rsidRPr="00AB6C84" w:rsidSect="006E6C45">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BB4C9" w14:textId="77777777" w:rsidR="00436A48" w:rsidRDefault="00436A48">
      <w:pPr>
        <w:spacing w:after="0"/>
      </w:pPr>
      <w:r>
        <w:separator/>
      </w:r>
    </w:p>
  </w:endnote>
  <w:endnote w:type="continuationSeparator" w:id="0">
    <w:p w14:paraId="52009F3C" w14:textId="77777777" w:rsidR="00436A48" w:rsidRDefault="00436A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41CFD" w14:textId="77777777" w:rsidR="00436A48" w:rsidRDefault="00436A48">
      <w:r>
        <w:separator/>
      </w:r>
    </w:p>
  </w:footnote>
  <w:footnote w:type="continuationSeparator" w:id="0">
    <w:p w14:paraId="5F8560FF" w14:textId="77777777" w:rsidR="00436A48" w:rsidRDefault="00436A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4744978"/>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E440F742"/>
    <w:lvl w:ilvl="0">
      <w:start w:val="1"/>
      <w:numFmt w:val="decimal"/>
      <w:pStyle w:val="ListNumber"/>
      <w:lvlText w:val="%1."/>
      <w:lvlJc w:val="left"/>
      <w:pPr>
        <w:tabs>
          <w:tab w:val="num" w:pos="360"/>
        </w:tabs>
        <w:ind w:left="360" w:hanging="360"/>
      </w:pPr>
    </w:lvl>
  </w:abstractNum>
  <w:abstractNum w:abstractNumId="2" w15:restartNumberingAfterBreak="0">
    <w:nsid w:val="00A99411"/>
    <w:multiLevelType w:val="multilevel"/>
    <w:tmpl w:val="C534D5F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03048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93021188">
    <w:abstractNumId w:val="1"/>
  </w:num>
  <w:num w:numId="3" w16cid:durableId="1853493005">
    <w:abstractNumId w:val="1"/>
  </w:num>
  <w:num w:numId="4" w16cid:durableId="216818799">
    <w:abstractNumId w:val="1"/>
  </w:num>
  <w:num w:numId="5" w16cid:durableId="355273609">
    <w:abstractNumId w:val="1"/>
  </w:num>
  <w:num w:numId="6" w16cid:durableId="256330496">
    <w:abstractNumId w:val="1"/>
  </w:num>
  <w:num w:numId="7" w16cid:durableId="199825981">
    <w:abstractNumId w:val="0"/>
  </w:num>
  <w:num w:numId="8" w16cid:durableId="540746943">
    <w:abstractNumId w:val="0"/>
  </w:num>
  <w:num w:numId="9" w16cid:durableId="1349867432">
    <w:abstractNumId w:val="0"/>
  </w:num>
  <w:num w:numId="10" w16cid:durableId="1612938167">
    <w:abstractNumId w:val="0"/>
  </w:num>
  <w:num w:numId="11" w16cid:durableId="1478523909">
    <w:abstractNumId w:val="0"/>
  </w:num>
  <w:num w:numId="12" w16cid:durableId="934632237">
    <w:abstractNumId w:val="0"/>
  </w:num>
  <w:num w:numId="13" w16cid:durableId="882979150">
    <w:abstractNumId w:val="0"/>
  </w:num>
  <w:num w:numId="14" w16cid:durableId="147598123">
    <w:abstractNumId w:val="0"/>
  </w:num>
  <w:num w:numId="15" w16cid:durableId="273247183">
    <w:abstractNumId w:val="0"/>
  </w:num>
  <w:num w:numId="16" w16cid:durableId="9090415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B554B"/>
    <w:rsid w:val="00055C12"/>
    <w:rsid w:val="000860FA"/>
    <w:rsid w:val="00106F4A"/>
    <w:rsid w:val="001723EC"/>
    <w:rsid w:val="00195203"/>
    <w:rsid w:val="002960AF"/>
    <w:rsid w:val="00426316"/>
    <w:rsid w:val="00436A48"/>
    <w:rsid w:val="004463A3"/>
    <w:rsid w:val="005E3C2E"/>
    <w:rsid w:val="006869F7"/>
    <w:rsid w:val="006C163A"/>
    <w:rsid w:val="006D39CE"/>
    <w:rsid w:val="006E2C59"/>
    <w:rsid w:val="006E6C45"/>
    <w:rsid w:val="00763390"/>
    <w:rsid w:val="0076526C"/>
    <w:rsid w:val="00A107A8"/>
    <w:rsid w:val="00A43719"/>
    <w:rsid w:val="00A706B6"/>
    <w:rsid w:val="00A73F44"/>
    <w:rsid w:val="00AB6C84"/>
    <w:rsid w:val="00B46B8A"/>
    <w:rsid w:val="00BB173A"/>
    <w:rsid w:val="00C113F3"/>
    <w:rsid w:val="00C232D0"/>
    <w:rsid w:val="00DD2690"/>
    <w:rsid w:val="00DD67B7"/>
    <w:rsid w:val="00E3744C"/>
    <w:rsid w:val="00EB554B"/>
    <w:rsid w:val="00ED7DBB"/>
    <w:rsid w:val="00F16E58"/>
    <w:rsid w:val="00F42426"/>
    <w:rsid w:val="00F7025C"/>
    <w:rsid w:val="00FB265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7EE33"/>
  <w15:docId w15:val="{FF38A8B8-F4B9-4043-9641-B613F663B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06B6"/>
    <w:rPr>
      <w:rFonts w:ascii="Book Antiqua" w:hAnsi="Book Antiqua"/>
    </w:rPr>
  </w:style>
  <w:style w:type="paragraph" w:styleId="Heading1">
    <w:name w:val="heading 1"/>
    <w:basedOn w:val="Normal"/>
    <w:next w:val="BodyText"/>
    <w:uiPriority w:val="9"/>
    <w:qFormat/>
    <w:rsid w:val="001723EC"/>
    <w:pPr>
      <w:keepNext/>
      <w:keepLines/>
      <w:spacing w:before="480" w:after="0"/>
      <w:outlineLvl w:val="0"/>
    </w:pPr>
    <w:rPr>
      <w:rFonts w:ascii="Helvetica Neue" w:eastAsiaTheme="majorEastAsia" w:hAnsi="Helvetica Neue" w:cstheme="majorBidi"/>
      <w:b/>
      <w:bCs/>
      <w:color w:val="000000" w:themeColor="text1"/>
      <w:sz w:val="32"/>
      <w:szCs w:val="32"/>
    </w:rPr>
  </w:style>
  <w:style w:type="paragraph" w:styleId="Heading2">
    <w:name w:val="heading 2"/>
    <w:basedOn w:val="Normal"/>
    <w:next w:val="BodyText"/>
    <w:uiPriority w:val="9"/>
    <w:unhideWhenUsed/>
    <w:qFormat/>
    <w:rsid w:val="001723EC"/>
    <w:pPr>
      <w:keepNext/>
      <w:keepLines/>
      <w:spacing w:before="200" w:after="0"/>
      <w:outlineLvl w:val="1"/>
    </w:pPr>
    <w:rPr>
      <w:rFonts w:ascii="Helvetica Neue" w:eastAsiaTheme="majorEastAsia" w:hAnsi="Helvetica Neue" w:cstheme="majorBidi"/>
      <w:b/>
      <w:bCs/>
      <w:sz w:val="28"/>
      <w:szCs w:val="28"/>
    </w:rPr>
  </w:style>
  <w:style w:type="paragraph" w:styleId="Heading3">
    <w:name w:val="heading 3"/>
    <w:basedOn w:val="Normal"/>
    <w:next w:val="BodyText"/>
    <w:uiPriority w:val="9"/>
    <w:unhideWhenUsed/>
    <w:qFormat/>
    <w:rsid w:val="001723EC"/>
    <w:pPr>
      <w:keepNext/>
      <w:keepLines/>
      <w:spacing w:before="200" w:after="0"/>
      <w:outlineLvl w:val="2"/>
    </w:pPr>
    <w:rPr>
      <w:rFonts w:ascii="Helvetica Neue" w:eastAsiaTheme="majorEastAsia" w:hAnsi="Helvetica Neue" w:cstheme="majorBidi"/>
      <w:b/>
      <w:bC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E6C45"/>
    <w:pPr>
      <w:spacing w:before="180" w:after="180" w:line="480" w:lineRule="auto"/>
    </w:pPr>
  </w:style>
  <w:style w:type="paragraph" w:customStyle="1" w:styleId="FirstParagraph">
    <w:name w:val="First Paragraph"/>
    <w:basedOn w:val="BodyText"/>
    <w:next w:val="BodyText"/>
    <w:qFormat/>
    <w:rsid w:val="006E6C45"/>
  </w:style>
  <w:style w:type="paragraph" w:customStyle="1" w:styleId="Compact">
    <w:name w:val="Compact"/>
    <w:basedOn w:val="BodyText"/>
    <w:qFormat/>
    <w:rsid w:val="00A73F44"/>
    <w:pPr>
      <w:spacing w:before="36" w:after="36" w:line="240" w:lineRule="auto"/>
    </w:pPr>
  </w:style>
  <w:style w:type="paragraph" w:styleId="Title">
    <w:name w:val="Title"/>
    <w:basedOn w:val="Normal"/>
    <w:next w:val="BodyText"/>
    <w:qFormat/>
    <w:rsid w:val="001723EC"/>
    <w:pPr>
      <w:keepNext/>
      <w:keepLines/>
      <w:spacing w:before="480" w:after="240"/>
      <w:jc w:val="center"/>
    </w:pPr>
    <w:rPr>
      <w:rFonts w:ascii="Helvetica Neue" w:eastAsiaTheme="majorEastAsia" w:hAnsi="Helvetica Neue"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A706B6"/>
    <w:pPr>
      <w:keepNext/>
      <w:keepLines/>
      <w:jc w:val="center"/>
    </w:pPr>
    <w:rPr>
      <w:rFonts w:ascii="Book Antiqua" w:hAnsi="Book Antiqua"/>
    </w:rPr>
  </w:style>
  <w:style w:type="paragraph" w:styleId="Date">
    <w:name w:val="Date"/>
    <w:next w:val="BodyText"/>
    <w:qFormat/>
    <w:rsid w:val="00A706B6"/>
    <w:pPr>
      <w:keepNext/>
      <w:keepLines/>
      <w:jc w:val="center"/>
    </w:pPr>
    <w:rPr>
      <w:rFonts w:ascii="Book Antiqua" w:hAnsi="Book Antiqua"/>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C113F3"/>
    <w:pPr>
      <w:spacing w:before="180" w:after="180"/>
      <w:ind w:left="720" w:hanging="72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73F44"/>
    <w:pPr>
      <w:keepNext/>
      <w:spacing w:before="120" w:after="240"/>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AB6C84"/>
    <w:rPr>
      <w:rFonts w:ascii="Consolas" w:hAnsi="Consolas"/>
      <w:shd w:val="clear" w:color="auto" w:fill="F8F8F8"/>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AB6C84"/>
    <w:pPr>
      <w:shd w:val="clear" w:color="auto" w:fill="F8F8F8"/>
      <w:wordWrap w:val="0"/>
    </w:pPr>
    <w:rPr>
      <w:rFonts w:ascii="Consolas" w:hAnsi="Consola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E6C45"/>
  </w:style>
  <w:style w:type="character" w:styleId="LineNumber">
    <w:name w:val="line number"/>
    <w:basedOn w:val="DefaultParagraphFont"/>
    <w:semiHidden/>
    <w:unhideWhenUsed/>
    <w:rsid w:val="006E6C45"/>
  </w:style>
  <w:style w:type="table" w:customStyle="1" w:styleId="PaperTable">
    <w:name w:val="PaperTable"/>
    <w:basedOn w:val="TableNormal"/>
    <w:uiPriority w:val="99"/>
    <w:rsid w:val="00DD67B7"/>
    <w:pPr>
      <w:spacing w:after="0"/>
    </w:pPr>
    <w:rPr>
      <w:rFonts w:ascii="Book Antiqua" w:hAnsi="Book Antiqua"/>
      <w:sz w:val="22"/>
    </w:rPr>
    <w:tblPr>
      <w:tblCellSpacing w:w="14" w:type="dxa"/>
      <w:tblBorders>
        <w:bottom w:val="single" w:sz="12" w:space="0" w:color="auto"/>
      </w:tblBorders>
      <w:tblCellMar>
        <w:top w:w="144" w:type="dxa"/>
        <w:left w:w="144" w:type="dxa"/>
        <w:bottom w:w="144" w:type="dxa"/>
        <w:right w:w="144" w:type="dxa"/>
      </w:tblCellMar>
    </w:tblPr>
    <w:trPr>
      <w:tblCellSpacing w:w="14" w:type="dxa"/>
    </w:trPr>
    <w:tcPr>
      <w:vAlign w:val="center"/>
    </w:tcPr>
    <w:tblStylePr w:type="firstRow">
      <w:pPr>
        <w:jc w:val="left"/>
      </w:pPr>
      <w:rPr>
        <w:rFonts w:ascii="Book Antiqua" w:hAnsi="Book Antiqua"/>
        <w:b/>
        <w:sz w:val="24"/>
      </w:rPr>
      <w:tblPr/>
      <w:tcPr>
        <w:tcBorders>
          <w:top w:val="single" w:sz="4" w:space="0" w:color="auto"/>
          <w:left w:val="nil"/>
          <w:bottom w:val="single" w:sz="12" w:space="0" w:color="auto"/>
          <w:right w:val="nil"/>
          <w:insideH w:val="nil"/>
          <w:insideV w:val="nil"/>
          <w:tl2br w:val="nil"/>
          <w:tr2bl w:val="nil"/>
        </w:tcBorders>
      </w:tcPr>
    </w:tblStylePr>
  </w:style>
  <w:style w:type="paragraph" w:styleId="ListNumber">
    <w:name w:val="List Number"/>
    <w:basedOn w:val="Normal"/>
    <w:semiHidden/>
    <w:unhideWhenUsed/>
    <w:rsid w:val="00106F4A"/>
    <w:pPr>
      <w:numPr>
        <w:numId w:val="6"/>
      </w:numPr>
      <w:contextualSpacing/>
    </w:pPr>
  </w:style>
  <w:style w:type="table" w:customStyle="1" w:styleId="PubTable">
    <w:name w:val="PubTable"/>
    <w:basedOn w:val="PlainTable1"/>
    <w:uiPriority w:val="99"/>
    <w:rsid w:val="002960AF"/>
    <w:rPr>
      <w:rFonts w:ascii="Book Antiqua" w:hAnsi="Book Antiqua"/>
      <w:sz w:val="22"/>
      <w:szCs w:val="20"/>
    </w:rPr>
    <w:tblPr>
      <w:tblCellSpacing w:w="14"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CellMar>
        <w:top w:w="144" w:type="dxa"/>
        <w:left w:w="144" w:type="dxa"/>
        <w:bottom w:w="144" w:type="dxa"/>
        <w:right w:w="144" w:type="dxa"/>
      </w:tblCellMar>
    </w:tblPr>
    <w:trPr>
      <w:tblCellSpacing w:w="14" w:type="dxa"/>
    </w:trPr>
    <w:tcPr>
      <w:shd w:val="clear" w:color="auto" w:fill="auto"/>
      <w:vAlign w:val="center"/>
    </w:tcPr>
    <w:tblStylePr w:type="firstRow">
      <w:pPr>
        <w:jc w:val="left"/>
      </w:pPr>
      <w:rPr>
        <w:rFonts w:ascii="Book Antiqua" w:hAnsi="Book Antiqua"/>
        <w:b/>
        <w:bCs/>
        <w:i w:val="0"/>
        <w:sz w:val="24"/>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rsid w:val="00A73F44"/>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A73F4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307/1313122" TargetMode="External"/><Relationship Id="rId13" Type="http://schemas.openxmlformats.org/officeDocument/2006/relationships/hyperlink" Target="https://doi.org/10.1023/B:LAND.0000030451.29571.8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foreco.2014.10.03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2136/sssaj1961.03615995002500050023x" TargetMode="External"/><Relationship Id="rId5" Type="http://schemas.openxmlformats.org/officeDocument/2006/relationships/webSettings" Target="webSettings.xml"/><Relationship Id="rId15" Type="http://schemas.openxmlformats.org/officeDocument/2006/relationships/hyperlink" Target="https://doi.org/10.1139/x93-140" TargetMode="External"/><Relationship Id="rId10" Type="http://schemas.openxmlformats.org/officeDocument/2006/relationships/hyperlink" Target="https://doi.org/10.1111/2041-210X.12575" TargetMode="External"/><Relationship Id="rId4" Type="http://schemas.openxmlformats.org/officeDocument/2006/relationships/settings" Target="settings.xml"/><Relationship Id="rId9" Type="http://schemas.openxmlformats.org/officeDocument/2006/relationships/hyperlink" Target="https://doi.org/10.1002/ecs2.2185" TargetMode="External"/><Relationship Id="rId14" Type="http://schemas.openxmlformats.org/officeDocument/2006/relationships/hyperlink" Target="https://doi.org/10.1007/s10021-012-957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749C9-3C80-F548-AA89-D525DC24B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8</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State-factor controls on subalpine forest structure</vt:lpstr>
    </vt:vector>
  </TitlesOfParts>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State-factor controls on subalpine forest structure</dc:title>
  <dc:creator>Hugh M. Worsham, Energy and Resources Group, U. C. Berkeley; Haruko M. Wainwright, Massachusetts Institute of Technology; Thomas L. Powell, Sewanee College; Nicola Falco, Lawrence Berkeley National Lab; Lara M. Kueppers, Energy and Resources Group, U.C. Berkeley, Lawrence Berkeley National Lab</dc:creator>
  <cp:keywords/>
  <cp:lastModifiedBy>Marshall Worsham</cp:lastModifiedBy>
  <cp:revision>30</cp:revision>
  <cp:lastPrinted>2023-10-20T20:37:00Z</cp:lastPrinted>
  <dcterms:created xsi:type="dcterms:W3CDTF">2023-03-06T03:30:00Z</dcterms:created>
  <dcterms:modified xsi:type="dcterms:W3CDTF">2023-10-20T20:50:00Z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goes here.</vt:lpwstr>
  </property>
  <property fmtid="{D5CDD505-2E9C-101B-9397-08002B2CF9AE}" pid="3" name="bibliography">
    <vt:lpwstr>./ER_Forest_Structure_Paper.bib</vt:lpwstr>
  </property>
  <property fmtid="{D5CDD505-2E9C-101B-9397-08002B2CF9AE}" pid="4" name="csl">
    <vt:lpwstr>./remote-sensing-of-environment.csl</vt:lpwstr>
  </property>
  <property fmtid="{D5CDD505-2E9C-101B-9397-08002B2CF9AE}" pid="5" name="date">
    <vt:lpwstr>March 05, 2023</vt:lpwstr>
  </property>
  <property fmtid="{D5CDD505-2E9C-101B-9397-08002B2CF9AE}" pid="6" name="fontfamily">
    <vt:lpwstr>mathpazo</vt:lpwstr>
  </property>
  <property fmtid="{D5CDD505-2E9C-101B-9397-08002B2CF9AE}" pid="7" name="fontsize">
    <vt:lpwstr>12pt</vt:lpwstr>
  </property>
  <property fmtid="{D5CDD505-2E9C-101B-9397-08002B2CF9AE}" pid="8" name="geometry">
    <vt:lpwstr>margin = 1in</vt:lpwstr>
  </property>
  <property fmtid="{D5CDD505-2E9C-101B-9397-08002B2CF9AE}" pid="9" name="header-includes">
    <vt:lpwstr/>
  </property>
  <property fmtid="{D5CDD505-2E9C-101B-9397-08002B2CF9AE}" pid="10" name="indent">
    <vt:lpwstr>True</vt:lpwstr>
  </property>
  <property fmtid="{D5CDD505-2E9C-101B-9397-08002B2CF9AE}" pid="11" name="output">
    <vt:lpwstr/>
  </property>
</Properties>
</file>