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1527B5" w:rsidRPr="007F00C7" w:rsidRDefault="00000000" w:rsidP="007F00C7">
      <w:pPr>
        <w:pStyle w:val="Title"/>
        <w:spacing w:after="0"/>
        <w:jc w:val="left"/>
        <w:rPr>
          <w:rFonts w:ascii="Times New Roman" w:hAnsi="Times New Roman" w:cs="Times New Roman"/>
        </w:rPr>
      </w:pPr>
      <w:r w:rsidRPr="007F00C7">
        <w:rPr>
          <w:rFonts w:ascii="Times New Roman" w:hAnsi="Times New Roman" w:cs="Times New Roman"/>
        </w:rPr>
        <w:t>Abiotic influences on continuous conifer forest structure across a subalpine watershed</w:t>
      </w:r>
    </w:p>
    <w:p w14:paraId="00000002" w14:textId="77777777" w:rsidR="001527B5" w:rsidRPr="007F00C7" w:rsidRDefault="001527B5">
      <w:pPr>
        <w:keepNext/>
        <w:keepLines/>
        <w:pBdr>
          <w:top w:val="nil"/>
          <w:left w:val="nil"/>
          <w:bottom w:val="nil"/>
          <w:right w:val="nil"/>
          <w:between w:val="nil"/>
        </w:pBdr>
        <w:spacing w:after="0"/>
        <w:jc w:val="center"/>
        <w:rPr>
          <w:color w:val="000000"/>
        </w:rPr>
      </w:pPr>
    </w:p>
    <w:p w14:paraId="00000003" w14:textId="277ED3A3" w:rsidR="001527B5" w:rsidRPr="007F00C7" w:rsidRDefault="00000000" w:rsidP="007F00C7">
      <w:pPr>
        <w:keepNext/>
        <w:keepLines/>
        <w:pBdr>
          <w:top w:val="nil"/>
          <w:left w:val="nil"/>
          <w:bottom w:val="nil"/>
          <w:right w:val="nil"/>
          <w:between w:val="nil"/>
        </w:pBdr>
        <w:spacing w:after="0"/>
        <w:rPr>
          <w:color w:val="000000"/>
          <w:vertAlign w:val="superscript"/>
        </w:rPr>
      </w:pPr>
      <w:r w:rsidRPr="007F00C7">
        <w:rPr>
          <w:color w:val="000000"/>
        </w:rPr>
        <w:t xml:space="preserve">H. Marshall </w:t>
      </w:r>
      <w:proofErr w:type="spellStart"/>
      <w:r w:rsidRPr="007F00C7">
        <w:rPr>
          <w:color w:val="000000"/>
        </w:rPr>
        <w:t>Worsham</w:t>
      </w:r>
      <w:r w:rsidRPr="007F00C7">
        <w:rPr>
          <w:color w:val="000000"/>
          <w:vertAlign w:val="superscript"/>
        </w:rPr>
        <w:t>a</w:t>
      </w:r>
      <w:proofErr w:type="spellEnd"/>
      <w:r w:rsidRPr="007F00C7">
        <w:rPr>
          <w:color w:val="000000"/>
        </w:rPr>
        <w:t xml:space="preserve">, Haruko M. </w:t>
      </w:r>
      <w:proofErr w:type="spellStart"/>
      <w:proofErr w:type="gramStart"/>
      <w:r w:rsidRPr="007F00C7">
        <w:rPr>
          <w:color w:val="000000"/>
        </w:rPr>
        <w:t>Wainwright</w:t>
      </w:r>
      <w:r w:rsidRPr="007F00C7">
        <w:rPr>
          <w:color w:val="000000"/>
          <w:vertAlign w:val="superscript"/>
        </w:rPr>
        <w:t>b,c</w:t>
      </w:r>
      <w:proofErr w:type="spellEnd"/>
      <w:proofErr w:type="gramEnd"/>
      <w:r w:rsidRPr="007F00C7">
        <w:rPr>
          <w:color w:val="000000"/>
        </w:rPr>
        <w:t xml:space="preserve">, Thomas L. </w:t>
      </w:r>
      <w:proofErr w:type="spellStart"/>
      <w:r w:rsidRPr="007F00C7">
        <w:rPr>
          <w:color w:val="000000"/>
        </w:rPr>
        <w:t>Powell</w:t>
      </w:r>
      <w:r w:rsidRPr="007F00C7">
        <w:rPr>
          <w:color w:val="000000"/>
          <w:vertAlign w:val="superscript"/>
        </w:rPr>
        <w:t>d</w:t>
      </w:r>
      <w:proofErr w:type="spellEnd"/>
      <w:r w:rsidRPr="007F00C7">
        <w:rPr>
          <w:color w:val="000000"/>
        </w:rPr>
        <w:t xml:space="preserve">, Nicola </w:t>
      </w:r>
      <w:proofErr w:type="spellStart"/>
      <w:r w:rsidRPr="007F00C7">
        <w:rPr>
          <w:color w:val="000000"/>
        </w:rPr>
        <w:t>Falco</w:t>
      </w:r>
      <w:r w:rsidRPr="007F00C7">
        <w:rPr>
          <w:color w:val="000000"/>
          <w:vertAlign w:val="superscript"/>
        </w:rPr>
        <w:t>e</w:t>
      </w:r>
      <w:proofErr w:type="spellEnd"/>
      <w:r w:rsidRPr="007F00C7">
        <w:rPr>
          <w:color w:val="000000"/>
        </w:rPr>
        <w:t xml:space="preserve">, and Lara M. </w:t>
      </w:r>
      <w:proofErr w:type="spellStart"/>
      <w:r w:rsidRPr="007F00C7">
        <w:rPr>
          <w:color w:val="000000"/>
        </w:rPr>
        <w:t>Kueppers</w:t>
      </w:r>
      <w:r w:rsidRPr="007F00C7">
        <w:rPr>
          <w:color w:val="000000"/>
          <w:vertAlign w:val="superscript"/>
        </w:rPr>
        <w:t>a,e</w:t>
      </w:r>
      <w:proofErr w:type="spellEnd"/>
    </w:p>
    <w:p w14:paraId="00000004" w14:textId="77777777" w:rsidR="001527B5" w:rsidRPr="007F00C7" w:rsidRDefault="001527B5">
      <w:pPr>
        <w:pBdr>
          <w:top w:val="nil"/>
          <w:left w:val="nil"/>
          <w:bottom w:val="nil"/>
          <w:right w:val="nil"/>
          <w:between w:val="nil"/>
        </w:pBdr>
        <w:spacing w:after="0" w:line="480" w:lineRule="auto"/>
        <w:rPr>
          <w:color w:val="000000"/>
          <w:vertAlign w:val="superscript"/>
        </w:rPr>
      </w:pPr>
    </w:p>
    <w:p w14:paraId="00000005" w14:textId="7FF228CE" w:rsidR="001527B5" w:rsidRPr="007F00C7" w:rsidRDefault="00000000">
      <w:pPr>
        <w:pBdr>
          <w:top w:val="nil"/>
          <w:left w:val="nil"/>
          <w:bottom w:val="nil"/>
          <w:right w:val="nil"/>
          <w:between w:val="nil"/>
        </w:pBdr>
        <w:spacing w:after="0" w:line="480" w:lineRule="auto"/>
        <w:rPr>
          <w:color w:val="000000"/>
        </w:rPr>
      </w:pPr>
      <w:proofErr w:type="spellStart"/>
      <w:r w:rsidRPr="007F00C7">
        <w:rPr>
          <w:color w:val="000000"/>
          <w:vertAlign w:val="superscript"/>
        </w:rPr>
        <w:t>a</w:t>
      </w:r>
      <w:proofErr w:type="spellEnd"/>
      <w:r w:rsidRPr="007F00C7">
        <w:rPr>
          <w:color w:val="000000"/>
        </w:rPr>
        <w:t xml:space="preserve"> Energy and Resources Group, University of California Berkeley, 345 Giannini Hall, Berkeley, California 94720, USA</w:t>
      </w:r>
      <w:r w:rsidRPr="007F00C7">
        <w:rPr>
          <w:color w:val="000000"/>
        </w:rPr>
        <w:br/>
      </w:r>
      <w:r w:rsidRPr="007F00C7">
        <w:rPr>
          <w:color w:val="000000"/>
          <w:vertAlign w:val="superscript"/>
        </w:rPr>
        <w:t>b</w:t>
      </w:r>
      <w:r w:rsidRPr="007F00C7">
        <w:rPr>
          <w:color w:val="000000"/>
        </w:rPr>
        <w:t xml:space="preserve"> Department of Nuclear Science and Engineering, Massachusetts Institute of Technology, 77 Massachusetts Avenue, Cambridge, Massachusetts 02139, USA</w:t>
      </w:r>
      <w:r w:rsidRPr="007F00C7">
        <w:rPr>
          <w:color w:val="000000"/>
        </w:rPr>
        <w:br/>
      </w:r>
      <w:r w:rsidRPr="007F00C7">
        <w:rPr>
          <w:color w:val="000000"/>
          <w:vertAlign w:val="superscript"/>
        </w:rPr>
        <w:t>c</w:t>
      </w:r>
      <w:r w:rsidRPr="007F00C7">
        <w:rPr>
          <w:color w:val="000000"/>
        </w:rPr>
        <w:t xml:space="preserve"> Department of Civil and Environmental Engineering, Massachusetts Institute of Technology, 77 Massachusetts Avenue, Cambridge, Massachusetts 02139, USA</w:t>
      </w:r>
      <w:r w:rsidRPr="007F00C7">
        <w:rPr>
          <w:color w:val="000000"/>
        </w:rPr>
        <w:br/>
      </w:r>
      <w:r w:rsidRPr="007F00C7">
        <w:rPr>
          <w:color w:val="000000"/>
          <w:vertAlign w:val="superscript"/>
        </w:rPr>
        <w:t>d</w:t>
      </w:r>
      <w:r w:rsidRPr="007F00C7">
        <w:rPr>
          <w:color w:val="000000"/>
        </w:rPr>
        <w:t xml:space="preserve"> Department of Earth and Environmental Systems, The University of the South, 735 University Avenue, Sewanee Tennessee 37383, USA</w:t>
      </w:r>
      <w:r w:rsidRPr="007F00C7">
        <w:rPr>
          <w:color w:val="000000"/>
        </w:rPr>
        <w:br/>
      </w:r>
      <w:r w:rsidRPr="007F00C7">
        <w:rPr>
          <w:color w:val="000000"/>
          <w:vertAlign w:val="superscript"/>
        </w:rPr>
        <w:t>e</w:t>
      </w:r>
      <w:r w:rsidRPr="007F00C7">
        <w:rPr>
          <w:color w:val="000000"/>
        </w:rPr>
        <w:t xml:space="preserve"> Climate &amp; Ecosystem Sciences Division, </w:t>
      </w:r>
      <w:r w:rsidRPr="007F00C7">
        <w:t>Lawrence Berkeley National Laboratory, 1 Cyclotron Road</w:t>
      </w:r>
      <w:r w:rsidRPr="007F00C7">
        <w:rPr>
          <w:color w:val="000000"/>
        </w:rPr>
        <w:t>, Berkeley, California 94720, USA</w:t>
      </w:r>
    </w:p>
    <w:p w14:paraId="00000007" w14:textId="5A13542F" w:rsidR="001527B5" w:rsidRPr="007F00C7" w:rsidRDefault="00000000" w:rsidP="00DA79E7">
      <w:pPr>
        <w:pBdr>
          <w:top w:val="nil"/>
          <w:left w:val="nil"/>
          <w:bottom w:val="nil"/>
          <w:right w:val="nil"/>
          <w:between w:val="nil"/>
        </w:pBdr>
        <w:spacing w:before="180" w:after="0" w:line="480" w:lineRule="auto"/>
        <w:rPr>
          <w:color w:val="000000"/>
        </w:rPr>
      </w:pPr>
      <w:r w:rsidRPr="007F00C7">
        <w:rPr>
          <w:color w:val="000000"/>
        </w:rPr>
        <w:t>Correspon</w:t>
      </w:r>
      <w:r w:rsidR="00DA79E7" w:rsidRPr="007F00C7">
        <w:rPr>
          <w:color w:val="000000"/>
        </w:rPr>
        <w:t>d</w:t>
      </w:r>
      <w:r w:rsidR="00CB1041">
        <w:rPr>
          <w:color w:val="000000"/>
        </w:rPr>
        <w:t>ence</w:t>
      </w:r>
      <w:r w:rsidRPr="007F00C7">
        <w:rPr>
          <w:color w:val="000000"/>
        </w:rPr>
        <w:t xml:space="preserve">: </w:t>
      </w:r>
      <w:hyperlink r:id="rId8" w:history="1">
        <w:r w:rsidR="00CB1041" w:rsidRPr="00846A3B">
          <w:rPr>
            <w:rStyle w:val="Hyperlink"/>
          </w:rPr>
          <w:t>H. Marshall Worsham (worsham@berkeley.edu</w:t>
        </w:r>
      </w:hyperlink>
      <w:bookmarkStart w:id="0" w:name="bookmark=id.gjdgxs" w:colFirst="0" w:colLast="0"/>
      <w:bookmarkEnd w:id="0"/>
      <w:r w:rsidR="00CB1041">
        <w:t>)</w:t>
      </w:r>
    </w:p>
    <w:p w14:paraId="00000008" w14:textId="77777777" w:rsidR="001527B5" w:rsidRPr="007F00C7" w:rsidRDefault="00000000">
      <w:pPr>
        <w:pStyle w:val="Heading1"/>
        <w:rPr>
          <w:rFonts w:ascii="Times New Roman" w:hAnsi="Times New Roman" w:cs="Times New Roman"/>
        </w:rPr>
      </w:pPr>
      <w:r w:rsidRPr="007F00C7">
        <w:rPr>
          <w:rFonts w:ascii="Times New Roman" w:hAnsi="Times New Roman" w:cs="Times New Roman"/>
        </w:rPr>
        <w:lastRenderedPageBreak/>
        <w:t>Abstract</w:t>
      </w:r>
    </w:p>
    <w:p w14:paraId="7BCDDCAD" w14:textId="77777777" w:rsidR="00D01733" w:rsidRDefault="00000000" w:rsidP="00796125">
      <w:pPr>
        <w:keepNext/>
        <w:keepLines/>
        <w:pBdr>
          <w:top w:val="nil"/>
          <w:left w:val="nil"/>
          <w:bottom w:val="nil"/>
          <w:right w:val="nil"/>
          <w:between w:val="nil"/>
        </w:pBdr>
        <w:spacing w:before="300" w:after="300" w:line="480" w:lineRule="auto"/>
        <w:rPr>
          <w:color w:val="000000"/>
          <w:sz w:val="20"/>
          <w:szCs w:val="20"/>
        </w:rPr>
      </w:pPr>
      <w:r w:rsidRPr="007F00C7">
        <w:rPr>
          <w:color w:val="000000"/>
          <w:sz w:val="20"/>
          <w:szCs w:val="20"/>
        </w:rPr>
        <w:t xml:space="preserve">Understanding the abiotic drivers of high-elevation forest physiognomy is essential for forecasting how these systems will respond to emerging environmental pressures. At broad scales, climate factors often emerge as the strongest constraints on forest structure and composition. However, at finer scales, such as that of a watershed, other locally varying topographic and </w:t>
      </w:r>
      <w:r w:rsidR="00DA79E7" w:rsidRPr="007F00C7">
        <w:rPr>
          <w:color w:val="000000"/>
          <w:sz w:val="20"/>
          <w:szCs w:val="20"/>
        </w:rPr>
        <w:t>substrate</w:t>
      </w:r>
      <w:r w:rsidRPr="007F00C7">
        <w:rPr>
          <w:color w:val="000000"/>
          <w:sz w:val="20"/>
          <w:szCs w:val="20"/>
        </w:rPr>
        <w:t xml:space="preserve"> constraints may mediate the effects of synoptic climate. </w:t>
      </w:r>
      <w:r w:rsidR="00DA79E7" w:rsidRPr="007F00C7">
        <w:rPr>
          <w:color w:val="000000"/>
          <w:sz w:val="20"/>
          <w:szCs w:val="20"/>
        </w:rPr>
        <w:t>Here</w:t>
      </w:r>
      <w:r w:rsidRPr="007F00C7">
        <w:rPr>
          <w:color w:val="000000"/>
          <w:sz w:val="20"/>
          <w:szCs w:val="20"/>
        </w:rPr>
        <w:t xml:space="preserve"> we quantified the relative influence of climate, topographic, edaphic, and geologic factors on conifer forest stand structure and composition, and their functional relationships, at the watershed scale. We used waveform LiDAR data to derive spatially continuous stand structure metrics based on individual tree dete</w:t>
      </w:r>
      <w:r w:rsidRPr="007F00C7">
        <w:rPr>
          <w:sz w:val="20"/>
          <w:szCs w:val="20"/>
        </w:rPr>
        <w:t>ction (ITD)</w:t>
      </w:r>
      <w:r w:rsidRPr="007F00C7">
        <w:rPr>
          <w:color w:val="000000"/>
          <w:sz w:val="20"/>
          <w:szCs w:val="20"/>
        </w:rPr>
        <w:t xml:space="preserve"> within an upper montane–subalpine domain in the Colorado Rocky Mountains. We fused these with a species-level classification map to estimate tree species abundance. We applied generalized additive and generalized boosted models to evaluate the covariability of structural and compositional metrics with abiotic variables. Peak snow water equivalent (SWE), snow disappearance rate and elevation explained the </w:t>
      </w:r>
      <w:r w:rsidR="00DA79E7" w:rsidRPr="007F00C7">
        <w:rPr>
          <w:color w:val="000000"/>
          <w:sz w:val="20"/>
          <w:szCs w:val="20"/>
        </w:rPr>
        <w:t>most</w:t>
      </w:r>
      <w:r w:rsidRPr="007F00C7">
        <w:rPr>
          <w:color w:val="000000"/>
          <w:sz w:val="20"/>
          <w:szCs w:val="20"/>
        </w:rPr>
        <w:t xml:space="preserve"> varia</w:t>
      </w:r>
      <w:r w:rsidR="00DA79E7" w:rsidRPr="007F00C7">
        <w:rPr>
          <w:color w:val="000000"/>
          <w:sz w:val="20"/>
          <w:szCs w:val="20"/>
        </w:rPr>
        <w:t>tion</w:t>
      </w:r>
      <w:r w:rsidRPr="007F00C7">
        <w:rPr>
          <w:color w:val="000000"/>
          <w:sz w:val="20"/>
          <w:szCs w:val="20"/>
        </w:rPr>
        <w:t xml:space="preserve"> </w:t>
      </w:r>
      <w:r w:rsidR="00DA79E7" w:rsidRPr="007F00C7">
        <w:rPr>
          <w:color w:val="000000"/>
          <w:sz w:val="20"/>
          <w:szCs w:val="20"/>
        </w:rPr>
        <w:t>in</w:t>
      </w:r>
      <w:r w:rsidRPr="007F00C7">
        <w:rPr>
          <w:color w:val="000000"/>
          <w:sz w:val="20"/>
          <w:szCs w:val="20"/>
        </w:rPr>
        <w:t xml:space="preserve"> structural metrics, with nonlinear relationships. The highest stand density, basal area, maximum canopy height, and quadratic mean diameter occurred in sites with low peak SWE (around one standard deviation below mean), but with long snow residence times. Stand density decreased linearly with increasing elevation, while other structural metrics showed non-monotonic relationships</w:t>
      </w:r>
      <w:r w:rsidR="00DA79E7" w:rsidRPr="007F00C7">
        <w:rPr>
          <w:color w:val="000000"/>
          <w:sz w:val="20"/>
          <w:szCs w:val="20"/>
        </w:rPr>
        <w:t>,</w:t>
      </w:r>
      <w:r w:rsidRPr="007F00C7">
        <w:rPr>
          <w:color w:val="000000"/>
          <w:sz w:val="20"/>
          <w:szCs w:val="20"/>
        </w:rPr>
        <w:t xml:space="preserve"> with maxima between 3000 m and 3200 m and asymptotic declines with increasing elevation. Substrate properties were less influential. Our methods contribute important advance</w:t>
      </w:r>
      <w:r w:rsidR="00593342" w:rsidRPr="007F00C7">
        <w:rPr>
          <w:color w:val="000000"/>
          <w:sz w:val="20"/>
          <w:szCs w:val="20"/>
        </w:rPr>
        <w:t>s</w:t>
      </w:r>
      <w:r w:rsidRPr="007F00C7">
        <w:rPr>
          <w:color w:val="000000"/>
          <w:sz w:val="20"/>
          <w:szCs w:val="20"/>
        </w:rPr>
        <w:t xml:space="preserve"> in reproducible </w:t>
      </w:r>
      <w:r w:rsidRPr="007F00C7">
        <w:rPr>
          <w:sz w:val="20"/>
          <w:szCs w:val="20"/>
        </w:rPr>
        <w:t xml:space="preserve">ITD </w:t>
      </w:r>
      <w:r w:rsidRPr="007F00C7">
        <w:rPr>
          <w:color w:val="000000"/>
          <w:sz w:val="20"/>
          <w:szCs w:val="20"/>
        </w:rPr>
        <w:t xml:space="preserve">and quantification of forest structure, and our inferential results </w:t>
      </w:r>
      <w:r w:rsidR="00593342" w:rsidRPr="007F00C7">
        <w:rPr>
          <w:color w:val="000000"/>
          <w:sz w:val="20"/>
          <w:szCs w:val="20"/>
        </w:rPr>
        <w:t>add needed detail to</w:t>
      </w:r>
      <w:r w:rsidRPr="007F00C7">
        <w:rPr>
          <w:color w:val="000000"/>
          <w:sz w:val="20"/>
          <w:szCs w:val="20"/>
        </w:rPr>
        <w:t xml:space="preserve"> the baseline understanding </w:t>
      </w:r>
      <w:r w:rsidR="00593342" w:rsidRPr="007F00C7">
        <w:rPr>
          <w:color w:val="000000"/>
          <w:sz w:val="20"/>
          <w:szCs w:val="20"/>
        </w:rPr>
        <w:t xml:space="preserve">of the dominant controls on forest processes </w:t>
      </w:r>
      <w:r w:rsidRPr="007F00C7">
        <w:rPr>
          <w:color w:val="000000"/>
          <w:sz w:val="20"/>
          <w:szCs w:val="20"/>
        </w:rPr>
        <w:t>requi</w:t>
      </w:r>
      <w:r w:rsidR="00593342" w:rsidRPr="007F00C7">
        <w:rPr>
          <w:color w:val="000000"/>
          <w:sz w:val="20"/>
          <w:szCs w:val="20"/>
        </w:rPr>
        <w:t>site</w:t>
      </w:r>
      <w:r w:rsidRPr="007F00C7">
        <w:rPr>
          <w:color w:val="000000"/>
          <w:sz w:val="20"/>
          <w:szCs w:val="20"/>
        </w:rPr>
        <w:t xml:space="preserve"> for predicting future forest change.</w:t>
      </w:r>
      <w:bookmarkStart w:id="1" w:name="bookmark=id.30j0zll" w:colFirst="0" w:colLast="0"/>
      <w:bookmarkEnd w:id="1"/>
    </w:p>
    <w:p w14:paraId="0000000F" w14:textId="072B28A4" w:rsidR="001527B5" w:rsidRPr="00D01733" w:rsidRDefault="00D01733" w:rsidP="00796125">
      <w:pPr>
        <w:keepNext/>
        <w:keepLines/>
        <w:pBdr>
          <w:top w:val="nil"/>
          <w:left w:val="nil"/>
          <w:bottom w:val="nil"/>
          <w:right w:val="nil"/>
          <w:between w:val="nil"/>
        </w:pBdr>
        <w:spacing w:before="300" w:after="300" w:line="480" w:lineRule="auto"/>
        <w:rPr>
          <w:color w:val="000000"/>
        </w:rPr>
      </w:pPr>
      <w:r w:rsidRPr="00D01733">
        <w:rPr>
          <w:color w:val="000000"/>
        </w:rPr>
        <w:t>Keywords:</w:t>
      </w:r>
      <w:r>
        <w:rPr>
          <w:color w:val="000000"/>
        </w:rPr>
        <w:t xml:space="preserve"> </w:t>
      </w:r>
      <w:r w:rsidRPr="00D01733">
        <w:rPr>
          <w:color w:val="000000"/>
        </w:rPr>
        <w:t>waveform LiDAR; forest structure; conifer; subalpine; environmental gradients; forest ecology</w:t>
      </w:r>
      <w:r w:rsidRPr="00D01733">
        <w:rPr>
          <w:color w:val="000000"/>
        </w:rPr>
        <w:t xml:space="preserve"> </w:t>
      </w:r>
      <w:r w:rsidR="00000000" w:rsidRPr="00D01733">
        <w:br w:type="page"/>
      </w:r>
    </w:p>
    <w:p w14:paraId="00000010" w14:textId="77777777" w:rsidR="001527B5" w:rsidRPr="007F00C7" w:rsidRDefault="00000000">
      <w:pPr>
        <w:pStyle w:val="Heading1"/>
        <w:rPr>
          <w:rFonts w:ascii="Times New Roman" w:hAnsi="Times New Roman" w:cs="Times New Roman"/>
        </w:rPr>
      </w:pPr>
      <w:r w:rsidRPr="007F00C7">
        <w:rPr>
          <w:rFonts w:ascii="Times New Roman" w:hAnsi="Times New Roman" w:cs="Times New Roman"/>
        </w:rPr>
        <w:lastRenderedPageBreak/>
        <w:t>1. Introduction</w:t>
      </w:r>
    </w:p>
    <w:p w14:paraId="00000011" w14:textId="3F476B3D" w:rsidR="001527B5" w:rsidRPr="007F00C7" w:rsidRDefault="00000000">
      <w:pPr>
        <w:pBdr>
          <w:top w:val="nil"/>
          <w:left w:val="nil"/>
          <w:bottom w:val="nil"/>
          <w:right w:val="nil"/>
          <w:between w:val="nil"/>
        </w:pBdr>
        <w:spacing w:after="0" w:line="480" w:lineRule="auto"/>
        <w:ind w:firstLine="720"/>
        <w:jc w:val="both"/>
        <w:rPr>
          <w:color w:val="000000"/>
        </w:rPr>
      </w:pPr>
      <w:r w:rsidRPr="007F00C7">
        <w:rPr>
          <w:color w:val="000000"/>
        </w:rPr>
        <w:t>As climate warming accelerates, high-elevation forests face increasing stress exposure, which could induce long-term changes in their structure, composition, and function (</w:t>
      </w:r>
      <w:proofErr w:type="spellStart"/>
      <w:r w:rsidRPr="007F00C7">
        <w:rPr>
          <w:color w:val="000000"/>
        </w:rPr>
        <w:t>Conlisk</w:t>
      </w:r>
      <w:proofErr w:type="spellEnd"/>
      <w:r w:rsidRPr="007F00C7">
        <w:rPr>
          <w:color w:val="000000"/>
        </w:rPr>
        <w:t xml:space="preserve"> et al., 2017; </w:t>
      </w:r>
      <w:proofErr w:type="spellStart"/>
      <w:r w:rsidRPr="007F00C7">
        <w:rPr>
          <w:color w:val="000000"/>
        </w:rPr>
        <w:t>Hankin</w:t>
      </w:r>
      <w:proofErr w:type="spellEnd"/>
      <w:r w:rsidRPr="007F00C7">
        <w:rPr>
          <w:color w:val="000000"/>
        </w:rPr>
        <w:t xml:space="preserve"> et al., 2024; </w:t>
      </w:r>
      <w:proofErr w:type="spellStart"/>
      <w:r w:rsidRPr="007F00C7">
        <w:rPr>
          <w:color w:val="000000"/>
        </w:rPr>
        <w:t>Kueppers</w:t>
      </w:r>
      <w:proofErr w:type="spellEnd"/>
      <w:r w:rsidRPr="007F00C7">
        <w:rPr>
          <w:color w:val="000000"/>
        </w:rPr>
        <w:t xml:space="preserve"> et al., 2017; Macias-Fauria and Johnson, 2013; McDowell and Allen, 2015; Van </w:t>
      </w:r>
      <w:proofErr w:type="spellStart"/>
      <w:r w:rsidRPr="007F00C7">
        <w:rPr>
          <w:color w:val="000000"/>
        </w:rPr>
        <w:t>Mantgem</w:t>
      </w:r>
      <w:proofErr w:type="spellEnd"/>
      <w:r w:rsidRPr="007F00C7">
        <w:rPr>
          <w:color w:val="000000"/>
        </w:rPr>
        <w:t xml:space="preserve"> et al., 2013). Because these forests regulate snow accumulation</w:t>
      </w:r>
      <w:r w:rsidR="00F24676">
        <w:rPr>
          <w:color w:val="000000"/>
        </w:rPr>
        <w:t xml:space="preserve"> and </w:t>
      </w:r>
      <w:r w:rsidRPr="007F00C7">
        <w:rPr>
          <w:color w:val="000000"/>
        </w:rPr>
        <w:t xml:space="preserve">surface-atmosphere water fluxes, such changes will likely have large effects on the timing and quantity of water released into the major basins of the Western U.S. (Foster et al., 2020). Forecasting how these systems will respond to emerging environmental pressures depends first upon understanding the abiotic drivers of high-elevation forest physiognomy under </w:t>
      </w:r>
      <w:r w:rsidRPr="007F00C7">
        <w:t>present</w:t>
      </w:r>
      <w:r w:rsidRPr="007F00C7">
        <w:rPr>
          <w:color w:val="000000"/>
        </w:rPr>
        <w:t xml:space="preserve"> conditions. However, several gaps exist in this baseline understanding.</w:t>
      </w:r>
    </w:p>
    <w:p w14:paraId="00000012" w14:textId="1F789211" w:rsidR="001527B5" w:rsidRPr="007F00C7" w:rsidRDefault="00000000">
      <w:pPr>
        <w:pBdr>
          <w:top w:val="nil"/>
          <w:left w:val="nil"/>
          <w:bottom w:val="nil"/>
          <w:right w:val="nil"/>
          <w:between w:val="nil"/>
        </w:pBdr>
        <w:spacing w:after="0" w:line="480" w:lineRule="auto"/>
        <w:ind w:firstLine="720"/>
        <w:jc w:val="both"/>
        <w:rPr>
          <w:color w:val="000000"/>
        </w:rPr>
      </w:pPr>
      <w:r w:rsidRPr="007F00C7">
        <w:rPr>
          <w:color w:val="000000"/>
        </w:rPr>
        <w:t>Forest structure and composition emerge from complex interactions between a variable abiotic environment and trait-driven mechanisms of organismal response (</w:t>
      </w:r>
      <w:proofErr w:type="spellStart"/>
      <w:r w:rsidRPr="007F00C7">
        <w:rPr>
          <w:color w:val="000000"/>
        </w:rPr>
        <w:t>Langenheim</w:t>
      </w:r>
      <w:proofErr w:type="spellEnd"/>
      <w:r w:rsidRPr="007F00C7">
        <w:rPr>
          <w:color w:val="000000"/>
        </w:rPr>
        <w:t xml:space="preserve">, 1962; Prentice, 1986; Prentice and </w:t>
      </w:r>
      <w:proofErr w:type="spellStart"/>
      <w:r w:rsidRPr="007F00C7">
        <w:rPr>
          <w:color w:val="000000"/>
        </w:rPr>
        <w:t>Leemans</w:t>
      </w:r>
      <w:proofErr w:type="spellEnd"/>
      <w:r w:rsidRPr="007F00C7">
        <w:rPr>
          <w:color w:val="000000"/>
        </w:rPr>
        <w:t>, 1990; Whittaker, 1953). In the large corpus of work that has considered these interactions, climate factors (namely, radiation, moisture, or proxies thereof) frequently emerge as the dominant drivers of community diversity and structure</w:t>
      </w:r>
      <w:r w:rsidR="009A5790" w:rsidRPr="007F00C7">
        <w:rPr>
          <w:color w:val="000000"/>
        </w:rPr>
        <w:t>, particularly at global scales</w:t>
      </w:r>
      <w:r w:rsidRPr="007F00C7">
        <w:rPr>
          <w:color w:val="000000"/>
        </w:rPr>
        <w:t xml:space="preserve"> (</w:t>
      </w:r>
      <w:proofErr w:type="spellStart"/>
      <w:r w:rsidRPr="007F00C7">
        <w:rPr>
          <w:color w:val="000000"/>
        </w:rPr>
        <w:t>Delcourt</w:t>
      </w:r>
      <w:proofErr w:type="spellEnd"/>
      <w:r w:rsidRPr="007F00C7">
        <w:rPr>
          <w:color w:val="000000"/>
        </w:rPr>
        <w:t xml:space="preserve"> et al., 1983; Moles et al., 2009; Shreve, 1915; Stephenson, 1990; Swenson and </w:t>
      </w:r>
      <w:proofErr w:type="spellStart"/>
      <w:r w:rsidRPr="007F00C7">
        <w:rPr>
          <w:color w:val="000000"/>
        </w:rPr>
        <w:t>Enquist</w:t>
      </w:r>
      <w:proofErr w:type="spellEnd"/>
      <w:r w:rsidRPr="007F00C7">
        <w:rPr>
          <w:color w:val="000000"/>
        </w:rPr>
        <w:t>, 2007; Urban et al., 2000; Urban et al., 1987; Whittaker, 1953; Zhang et al., 2016). However, several issues complicate interpretation of these dynamics. First, temperature and moisture tend to covary along the same gradients of elevation, aspect, and latitude, and so cannot be easily disentangled (Stephenson, 1990; Urban et al., 2000). Such interdependence may obscure underlying vegetation-environment dynamics</w:t>
      </w:r>
      <w:r w:rsidR="000E33A5">
        <w:rPr>
          <w:color w:val="000000"/>
        </w:rPr>
        <w:t xml:space="preserve">: </w:t>
      </w:r>
      <w:r w:rsidRPr="007F00C7">
        <w:rPr>
          <w:color w:val="000000"/>
        </w:rPr>
        <w:t xml:space="preserve">temperature partially drives atmospheric demand and influences stomatal regulation, contributing both positive and negative feedbacks to plant-available moisture (Peters et al., 2019). </w:t>
      </w:r>
      <w:r w:rsidR="009A5790" w:rsidRPr="007F00C7">
        <w:rPr>
          <w:color w:val="000000"/>
        </w:rPr>
        <w:t>Prevailing patterns</w:t>
      </w:r>
      <w:r w:rsidRPr="007F00C7">
        <w:rPr>
          <w:color w:val="000000"/>
        </w:rPr>
        <w:t xml:space="preserve"> of precipitation input and atmospheric </w:t>
      </w:r>
      <w:r w:rsidRPr="007F00C7">
        <w:rPr>
          <w:color w:val="000000"/>
        </w:rPr>
        <w:lastRenderedPageBreak/>
        <w:t xml:space="preserve">demand in many regions can also lead to seasonal </w:t>
      </w:r>
      <w:r w:rsidR="009A5790" w:rsidRPr="007F00C7">
        <w:rPr>
          <w:color w:val="000000"/>
        </w:rPr>
        <w:t>asynchronies</w:t>
      </w:r>
      <w:r w:rsidRPr="007F00C7">
        <w:rPr>
          <w:color w:val="000000"/>
        </w:rPr>
        <w:t xml:space="preserve"> in plant-available water and energy (Stephenson, 1990). Further, at least one study has found that </w:t>
      </w:r>
      <w:r w:rsidR="00EA02DE">
        <w:rPr>
          <w:color w:val="000000"/>
        </w:rPr>
        <w:t>soil</w:t>
      </w:r>
      <w:r w:rsidRPr="007F00C7">
        <w:rPr>
          <w:color w:val="000000"/>
        </w:rPr>
        <w:t xml:space="preserve"> may explain a greater share of variation in the abundance of trees than climate (Delgado-</w:t>
      </w:r>
      <w:proofErr w:type="spellStart"/>
      <w:r w:rsidRPr="007F00C7">
        <w:rPr>
          <w:color w:val="000000"/>
        </w:rPr>
        <w:t>Baquerizo</w:t>
      </w:r>
      <w:proofErr w:type="spellEnd"/>
      <w:r w:rsidRPr="007F00C7">
        <w:rPr>
          <w:color w:val="000000"/>
        </w:rPr>
        <w:t xml:space="preserve"> et al., 2020).</w:t>
      </w:r>
    </w:p>
    <w:p w14:paraId="00000013" w14:textId="1E05452F" w:rsidR="001527B5" w:rsidRPr="007F00C7" w:rsidRDefault="00000000">
      <w:pPr>
        <w:pBdr>
          <w:top w:val="nil"/>
          <w:left w:val="nil"/>
          <w:bottom w:val="nil"/>
          <w:right w:val="nil"/>
          <w:between w:val="nil"/>
        </w:pBdr>
        <w:spacing w:after="0" w:line="480" w:lineRule="auto"/>
        <w:ind w:firstLine="720"/>
        <w:jc w:val="both"/>
        <w:rPr>
          <w:color w:val="000000"/>
        </w:rPr>
      </w:pPr>
      <w:r w:rsidRPr="007F00C7">
        <w:rPr>
          <w:color w:val="000000"/>
        </w:rPr>
        <w:t xml:space="preserve">As difficult as it is to isolate the influence of specific abiotic drivers of emergent forest properties at broad scales, the task is perhaps even more daunting </w:t>
      </w:r>
      <w:r w:rsidR="00821B05">
        <w:rPr>
          <w:color w:val="000000"/>
        </w:rPr>
        <w:t>at the scale of a</w:t>
      </w:r>
      <w:r w:rsidRPr="007F00C7">
        <w:rPr>
          <w:color w:val="000000"/>
        </w:rPr>
        <w:t xml:space="preserve"> </w:t>
      </w:r>
      <w:r w:rsidR="00C60034">
        <w:rPr>
          <w:color w:val="000000"/>
        </w:rPr>
        <w:t>mountain</w:t>
      </w:r>
      <w:r w:rsidRPr="007F00C7">
        <w:rPr>
          <w:color w:val="000000"/>
        </w:rPr>
        <w:t xml:space="preserve"> watershed</w:t>
      </w:r>
      <w:r w:rsidR="00C60034">
        <w:rPr>
          <w:color w:val="000000"/>
        </w:rPr>
        <w:t>s</w:t>
      </w:r>
      <w:r w:rsidRPr="007F00C7">
        <w:rPr>
          <w:color w:val="000000"/>
        </w:rPr>
        <w:t xml:space="preserve">, where microclimate, substrate, and vegetation physiognomy can vary widely with small changes in position (Adams et al., 2014; Barnard et al., 2017; </w:t>
      </w:r>
      <w:proofErr w:type="spellStart"/>
      <w:r w:rsidRPr="007F00C7">
        <w:rPr>
          <w:color w:val="000000"/>
        </w:rPr>
        <w:t>Dobrowski</w:t>
      </w:r>
      <w:proofErr w:type="spellEnd"/>
      <w:r w:rsidRPr="007F00C7">
        <w:rPr>
          <w:color w:val="000000"/>
        </w:rPr>
        <w:t>, 2011). Site-species associations are often attributed to functional strategies developed in response to micro-scale radiative (</w:t>
      </w:r>
      <w:proofErr w:type="spellStart"/>
      <w:r w:rsidRPr="007F00C7">
        <w:rPr>
          <w:color w:val="000000"/>
        </w:rPr>
        <w:t>Körner</w:t>
      </w:r>
      <w:proofErr w:type="spellEnd"/>
      <w:r w:rsidRPr="007F00C7">
        <w:rPr>
          <w:color w:val="000000"/>
        </w:rPr>
        <w:t xml:space="preserve"> and Paulsen, 2004; Morin et al., 2007; Rehfeldt et al., 2006) and hydrologic (Whittaker and </w:t>
      </w:r>
      <w:proofErr w:type="spellStart"/>
      <w:r w:rsidRPr="007F00C7">
        <w:rPr>
          <w:color w:val="000000"/>
        </w:rPr>
        <w:t>Niering</w:t>
      </w:r>
      <w:proofErr w:type="spellEnd"/>
      <w:r w:rsidRPr="007F00C7">
        <w:rPr>
          <w:color w:val="000000"/>
        </w:rPr>
        <w:t xml:space="preserve">, 1964) regimes. Structural properties such as stem diameter, basal area, and maximum tree height are thought to decline with increasing elevation, with temperature as the key limiting control (King et al., 2013; Monk and Day, 1988). But aspect also modulates </w:t>
      </w:r>
      <w:r w:rsidRPr="007F00C7">
        <w:t>radiation input</w:t>
      </w:r>
      <w:r w:rsidRPr="007F00C7">
        <w:rPr>
          <w:color w:val="000000"/>
        </w:rPr>
        <w:t>, so the same properties also tend to decline with increasing vapor pressure deficit along a northeast-to-southwest gradient in the Northern Hemisphere (</w:t>
      </w:r>
      <w:proofErr w:type="spellStart"/>
      <w:r w:rsidRPr="007F00C7">
        <w:rPr>
          <w:color w:val="000000"/>
        </w:rPr>
        <w:t>Bolstad</w:t>
      </w:r>
      <w:proofErr w:type="spellEnd"/>
      <w:r w:rsidRPr="007F00C7">
        <w:rPr>
          <w:color w:val="000000"/>
        </w:rPr>
        <w:t xml:space="preserve"> et al., 2018; McNab, 1993). Elevation also influences precipitation, with snow input typically increasing upslope. However, local orographic lift, </w:t>
      </w:r>
      <w:r w:rsidR="009A5790" w:rsidRPr="007F00C7">
        <w:rPr>
          <w:color w:val="000000"/>
        </w:rPr>
        <w:t>precipitation</w:t>
      </w:r>
      <w:r w:rsidRPr="007F00C7">
        <w:rPr>
          <w:color w:val="000000"/>
        </w:rPr>
        <w:t xml:space="preserve"> shadowing, and </w:t>
      </w:r>
      <w:r w:rsidR="009A5790" w:rsidRPr="007F00C7">
        <w:rPr>
          <w:color w:val="000000"/>
        </w:rPr>
        <w:t>wind exposure further</w:t>
      </w:r>
      <w:r w:rsidRPr="007F00C7">
        <w:rPr>
          <w:color w:val="000000"/>
        </w:rPr>
        <w:t xml:space="preserve"> modulate these processes</w:t>
      </w:r>
      <w:r w:rsidR="009A5790" w:rsidRPr="007F00C7">
        <w:rPr>
          <w:color w:val="000000"/>
        </w:rPr>
        <w:t>, with consequent impacts on tree vital rates and attainable stature (</w:t>
      </w:r>
      <w:proofErr w:type="spellStart"/>
      <w:r w:rsidR="009A5790" w:rsidRPr="007F00C7">
        <w:rPr>
          <w:color w:val="000000"/>
        </w:rPr>
        <w:t>Hiemstra</w:t>
      </w:r>
      <w:proofErr w:type="spellEnd"/>
      <w:r w:rsidR="009A5790" w:rsidRPr="007F00C7">
        <w:rPr>
          <w:color w:val="000000"/>
        </w:rPr>
        <w:t xml:space="preserve"> et al., 2006; </w:t>
      </w:r>
      <w:proofErr w:type="spellStart"/>
      <w:r w:rsidR="009A5790" w:rsidRPr="007F00C7">
        <w:rPr>
          <w:color w:val="000000"/>
        </w:rPr>
        <w:t>Larjavaara</w:t>
      </w:r>
      <w:proofErr w:type="spellEnd"/>
      <w:r w:rsidR="009A5790" w:rsidRPr="007F00C7">
        <w:rPr>
          <w:color w:val="000000"/>
        </w:rPr>
        <w:t>, 2010</w:t>
      </w:r>
      <w:r w:rsidR="008313E2">
        <w:rPr>
          <w:color w:val="000000"/>
        </w:rPr>
        <w:t>)</w:t>
      </w:r>
      <w:r w:rsidR="009A5790" w:rsidRPr="007F00C7">
        <w:rPr>
          <w:color w:val="000000"/>
        </w:rPr>
        <w:t>.</w:t>
      </w:r>
      <w:r w:rsidRPr="007F00C7">
        <w:rPr>
          <w:color w:val="000000"/>
        </w:rPr>
        <w:t xml:space="preserve"> </w:t>
      </w:r>
      <w:r w:rsidR="009A5790" w:rsidRPr="007F00C7">
        <w:rPr>
          <w:color w:val="000000"/>
        </w:rPr>
        <w:t>At the same time, s</w:t>
      </w:r>
      <w:r w:rsidRPr="007F00C7">
        <w:rPr>
          <w:color w:val="000000"/>
        </w:rPr>
        <w:t xml:space="preserve">oil properties such as parent material, texture, pH, and depth vary widely in mountains and directly constrain plant-available water and nutrients (Bruckner et al., 1999; Meyer et al., 2007). </w:t>
      </w:r>
      <w:proofErr w:type="gramStart"/>
      <w:r w:rsidRPr="007F00C7">
        <w:rPr>
          <w:color w:val="000000"/>
        </w:rPr>
        <w:t>All of</w:t>
      </w:r>
      <w:proofErr w:type="gramEnd"/>
      <w:r w:rsidRPr="007F00C7">
        <w:rPr>
          <w:color w:val="000000"/>
        </w:rPr>
        <w:t xml:space="preserve"> these factors and their system of interactions </w:t>
      </w:r>
      <w:r w:rsidR="009A5790" w:rsidRPr="007F00C7">
        <w:rPr>
          <w:color w:val="000000"/>
        </w:rPr>
        <w:t>im</w:t>
      </w:r>
      <w:r w:rsidRPr="007F00C7">
        <w:rPr>
          <w:color w:val="000000"/>
        </w:rPr>
        <w:t>pose constraints to which trees must respond.</w:t>
      </w:r>
    </w:p>
    <w:p w14:paraId="00000014" w14:textId="0F4E25F5" w:rsidR="001527B5" w:rsidRPr="007F00C7" w:rsidRDefault="00000000">
      <w:pPr>
        <w:pBdr>
          <w:top w:val="nil"/>
          <w:left w:val="nil"/>
          <w:bottom w:val="nil"/>
          <w:right w:val="nil"/>
          <w:between w:val="nil"/>
        </w:pBdr>
        <w:spacing w:after="0" w:line="480" w:lineRule="auto"/>
        <w:ind w:firstLine="720"/>
        <w:jc w:val="both"/>
        <w:rPr>
          <w:color w:val="000000"/>
        </w:rPr>
      </w:pPr>
      <w:r w:rsidRPr="007F00C7">
        <w:rPr>
          <w:color w:val="000000"/>
        </w:rPr>
        <w:t xml:space="preserve">The preponderance of </w:t>
      </w:r>
      <w:r w:rsidR="002C7C26">
        <w:rPr>
          <w:color w:val="000000"/>
        </w:rPr>
        <w:t xml:space="preserve">environmental </w:t>
      </w:r>
      <w:r w:rsidR="008313E2">
        <w:rPr>
          <w:color w:val="000000"/>
        </w:rPr>
        <w:t>gradient analyses</w:t>
      </w:r>
      <w:r w:rsidRPr="007F00C7">
        <w:rPr>
          <w:color w:val="000000"/>
        </w:rPr>
        <w:t xml:space="preserve"> </w:t>
      </w:r>
      <w:r w:rsidR="008313E2">
        <w:rPr>
          <w:color w:val="000000"/>
        </w:rPr>
        <w:t>of</w:t>
      </w:r>
      <w:r w:rsidRPr="007F00C7">
        <w:rPr>
          <w:color w:val="000000"/>
        </w:rPr>
        <w:t xml:space="preserve"> forest structure and composition come from Eastern North American deciduous forests and the tropics, with far less information </w:t>
      </w:r>
      <w:r w:rsidRPr="007F00C7">
        <w:rPr>
          <w:color w:val="000000"/>
        </w:rPr>
        <w:lastRenderedPageBreak/>
        <w:t xml:space="preserve">from Western North America, where one might expect more pronounced </w:t>
      </w:r>
      <w:proofErr w:type="spellStart"/>
      <w:r w:rsidRPr="007F00C7">
        <w:rPr>
          <w:color w:val="000000"/>
        </w:rPr>
        <w:t>topoclimatic</w:t>
      </w:r>
      <w:proofErr w:type="spellEnd"/>
      <w:r w:rsidRPr="007F00C7">
        <w:rPr>
          <w:color w:val="000000"/>
        </w:rPr>
        <w:t xml:space="preserve"> variability. Among the few studies that have addressed such questions in this region, Kane et al. (2015) found that actual evapotranspiration (AET) and climatic water deficit (CWD) explained the greatest proportion of variance in canopy cover and 95th percentile height in a Sierra Nevada domain, consistent with the theory of radiation-moisture primacy. Fricker et al. (2019) reported that CWD and mean annual precipitation explained the majority of variability in maximum tree heights across four </w:t>
      </w:r>
      <w:proofErr w:type="gramStart"/>
      <w:r w:rsidRPr="007F00C7">
        <w:rPr>
          <w:color w:val="000000"/>
        </w:rPr>
        <w:t>Sierra Nevada forest</w:t>
      </w:r>
      <w:proofErr w:type="gramEnd"/>
      <w:r w:rsidRPr="007F00C7">
        <w:rPr>
          <w:color w:val="000000"/>
        </w:rPr>
        <w:t xml:space="preserve"> types. But they also detected a non-linear elevational influence on canopy height, with bimodal maxima at 1200 and 2300 </w:t>
      </w:r>
      <w:proofErr w:type="spellStart"/>
      <w:r w:rsidRPr="007F00C7">
        <w:rPr>
          <w:color w:val="000000"/>
        </w:rPr>
        <w:t>m.a.s.l</w:t>
      </w:r>
      <w:proofErr w:type="spellEnd"/>
      <w:r w:rsidRPr="007F00C7">
        <w:rPr>
          <w:color w:val="000000"/>
        </w:rPr>
        <w:t xml:space="preserve">., potentially pointing to an “ameliorative” effect of radiation on the adiabatic lapse rate. Greenberg et al. (2009) found a unimodal relationship between elevation and stem density in the Sierra Nevada, with peak density around 1900 </w:t>
      </w:r>
      <w:proofErr w:type="spellStart"/>
      <w:r w:rsidRPr="007F00C7">
        <w:rPr>
          <w:color w:val="000000"/>
        </w:rPr>
        <w:t>m.a.s.l</w:t>
      </w:r>
      <w:proofErr w:type="spellEnd"/>
      <w:r w:rsidRPr="007F00C7">
        <w:rPr>
          <w:color w:val="000000"/>
        </w:rPr>
        <w:t>. and minima toward the paired extremes of low elevation–high radiation and high elevation–low radiation.</w:t>
      </w:r>
    </w:p>
    <w:p w14:paraId="00000015" w14:textId="655C2FAA" w:rsidR="001527B5" w:rsidRPr="007F00C7" w:rsidRDefault="00000000">
      <w:pPr>
        <w:pBdr>
          <w:top w:val="nil"/>
          <w:left w:val="nil"/>
          <w:bottom w:val="nil"/>
          <w:right w:val="nil"/>
          <w:between w:val="nil"/>
        </w:pBdr>
        <w:spacing w:after="0" w:line="480" w:lineRule="auto"/>
        <w:ind w:firstLine="720"/>
        <w:jc w:val="both"/>
        <w:rPr>
          <w:color w:val="000000"/>
        </w:rPr>
      </w:pPr>
      <w:r w:rsidRPr="007F00C7">
        <w:rPr>
          <w:color w:val="000000"/>
        </w:rPr>
        <w:t xml:space="preserve">Underlying these findings is an important constraint in high-elevation forests: </w:t>
      </w:r>
      <w:r w:rsidR="00C314D9" w:rsidRPr="007F00C7">
        <w:rPr>
          <w:color w:val="000000"/>
        </w:rPr>
        <w:t>the ecohydrological limit</w:t>
      </w:r>
      <w:r w:rsidR="00770ED8" w:rsidRPr="007F00C7">
        <w:rPr>
          <w:color w:val="000000"/>
        </w:rPr>
        <w:t>ations</w:t>
      </w:r>
      <w:r w:rsidR="00C314D9" w:rsidRPr="007F00C7">
        <w:rPr>
          <w:color w:val="000000"/>
        </w:rPr>
        <w:t xml:space="preserve"> that trees face </w:t>
      </w:r>
      <w:proofErr w:type="gramStart"/>
      <w:r w:rsidR="00434A2C">
        <w:rPr>
          <w:color w:val="000000"/>
        </w:rPr>
        <w:t>vary</w:t>
      </w:r>
      <w:proofErr w:type="gramEnd"/>
      <w:r w:rsidR="00434A2C">
        <w:rPr>
          <w:color w:val="000000"/>
        </w:rPr>
        <w:t xml:space="preserve"> with</w:t>
      </w:r>
      <w:r w:rsidR="00C314D9" w:rsidRPr="007F00C7">
        <w:rPr>
          <w:color w:val="000000"/>
        </w:rPr>
        <w:t xml:space="preserve"> landscape position</w:t>
      </w:r>
      <w:r w:rsidRPr="007F00C7">
        <w:rPr>
          <w:color w:val="000000"/>
        </w:rPr>
        <w:t xml:space="preserve">. Although definitions of </w:t>
      </w:r>
      <w:r w:rsidR="004B7395" w:rsidRPr="007F00C7">
        <w:rPr>
          <w:color w:val="000000"/>
        </w:rPr>
        <w:t>ecohydrological</w:t>
      </w:r>
      <w:r w:rsidRPr="007F00C7">
        <w:rPr>
          <w:color w:val="000000"/>
        </w:rPr>
        <w:t xml:space="preserve"> limitation </w:t>
      </w:r>
      <w:r w:rsidRPr="007F00C7">
        <w:t>differ</w:t>
      </w:r>
      <w:r w:rsidRPr="007F00C7">
        <w:rPr>
          <w:color w:val="000000"/>
        </w:rPr>
        <w:t xml:space="preserve"> (</w:t>
      </w:r>
      <w:proofErr w:type="spellStart"/>
      <w:r w:rsidRPr="007F00C7">
        <w:rPr>
          <w:color w:val="000000"/>
        </w:rPr>
        <w:t>Dudney</w:t>
      </w:r>
      <w:proofErr w:type="spellEnd"/>
      <w:r w:rsidRPr="007F00C7">
        <w:rPr>
          <w:color w:val="000000"/>
        </w:rPr>
        <w:t xml:space="preserve"> et al., 2023; Hawkins et al., 2003; Whittaker et al., 2007; </w:t>
      </w:r>
      <w:proofErr w:type="spellStart"/>
      <w:r w:rsidRPr="007F00C7">
        <w:t>Roebroek</w:t>
      </w:r>
      <w:proofErr w:type="spellEnd"/>
      <w:r w:rsidRPr="007F00C7">
        <w:t xml:space="preserve"> et al., 2020</w:t>
      </w:r>
      <w:r w:rsidRPr="007F00C7">
        <w:rPr>
          <w:color w:val="000000"/>
        </w:rPr>
        <w:t>), we adopt the general proposition (</w:t>
      </w:r>
      <w:proofErr w:type="spellStart"/>
      <w:r w:rsidRPr="007F00C7">
        <w:rPr>
          <w:color w:val="000000"/>
        </w:rPr>
        <w:t>Dudney</w:t>
      </w:r>
      <w:proofErr w:type="spellEnd"/>
      <w:r w:rsidRPr="007F00C7">
        <w:rPr>
          <w:color w:val="000000"/>
        </w:rPr>
        <w:t xml:space="preserve"> et al., 2023; </w:t>
      </w:r>
      <w:proofErr w:type="spellStart"/>
      <w:r w:rsidRPr="007F00C7">
        <w:rPr>
          <w:color w:val="000000"/>
        </w:rPr>
        <w:t>Roebroek</w:t>
      </w:r>
      <w:proofErr w:type="spellEnd"/>
      <w:r w:rsidRPr="007F00C7">
        <w:rPr>
          <w:color w:val="000000"/>
        </w:rPr>
        <w:t xml:space="preserve"> et al., 2020) that in water-limited locations, vegetation productivity is more sensitive to moisture than to radiation, so that a marginal increase in temperature or photosynthetically active radiation (PAR) fails to yield a corresponding productivity increase. In energy-limited locations, a marginal increase in temperature or PAR does yield a productivity increase. Water-limited conditions often arise when potential evapotranspiration (PET) is greater than available moisture. </w:t>
      </w:r>
      <w:r w:rsidRPr="007F00C7">
        <w:t xml:space="preserve">Energy-limited conditions tend to prevail when low temperatures constrain </w:t>
      </w:r>
      <w:proofErr w:type="spellStart"/>
      <w:r w:rsidRPr="007F00C7">
        <w:t>xylogenesis</w:t>
      </w:r>
      <w:proofErr w:type="spellEnd"/>
      <w:r w:rsidRPr="007F00C7">
        <w:t xml:space="preserve"> by inhibiting cambial cell division and water-vessel differentiation and expansion (</w:t>
      </w:r>
      <w:proofErr w:type="spellStart"/>
      <w:r w:rsidRPr="007F00C7">
        <w:t>Dudney</w:t>
      </w:r>
      <w:proofErr w:type="spellEnd"/>
      <w:r w:rsidRPr="007F00C7">
        <w:t xml:space="preserve"> et al., 2023; </w:t>
      </w:r>
      <w:proofErr w:type="spellStart"/>
      <w:r w:rsidRPr="007F00C7">
        <w:t>Körner</w:t>
      </w:r>
      <w:proofErr w:type="spellEnd"/>
      <w:r w:rsidRPr="007F00C7">
        <w:t xml:space="preserve">, 2008; </w:t>
      </w:r>
      <w:proofErr w:type="spellStart"/>
      <w:r w:rsidRPr="007F00C7">
        <w:t>Cabon</w:t>
      </w:r>
      <w:proofErr w:type="spellEnd"/>
      <w:r w:rsidRPr="007F00C7">
        <w:t xml:space="preserve"> </w:t>
      </w:r>
      <w:r w:rsidRPr="007F00C7">
        <w:lastRenderedPageBreak/>
        <w:t xml:space="preserve">et al., 2020). </w:t>
      </w:r>
      <w:r w:rsidRPr="007F00C7">
        <w:rPr>
          <w:color w:val="000000"/>
        </w:rPr>
        <w:t>These conditions may vary in time, so that a site may be perennially water- or energy-limited or only intermittently so (</w:t>
      </w:r>
      <w:proofErr w:type="spellStart"/>
      <w:r w:rsidRPr="007F00C7">
        <w:rPr>
          <w:color w:val="000000"/>
        </w:rPr>
        <w:t>Denissen</w:t>
      </w:r>
      <w:proofErr w:type="spellEnd"/>
      <w:r w:rsidRPr="007F00C7">
        <w:rPr>
          <w:color w:val="000000"/>
        </w:rPr>
        <w:t xml:space="preserve"> et al., 2022; </w:t>
      </w:r>
      <w:proofErr w:type="spellStart"/>
      <w:r w:rsidRPr="007F00C7">
        <w:rPr>
          <w:color w:val="000000"/>
        </w:rPr>
        <w:t>Faybishenko</w:t>
      </w:r>
      <w:proofErr w:type="spellEnd"/>
      <w:r w:rsidRPr="007F00C7">
        <w:rPr>
          <w:color w:val="000000"/>
        </w:rPr>
        <w:t xml:space="preserve"> et al., 2023).</w:t>
      </w:r>
    </w:p>
    <w:p w14:paraId="00000016" w14:textId="067E013C" w:rsidR="001527B5" w:rsidRPr="007F00C7" w:rsidRDefault="00000000">
      <w:pPr>
        <w:pBdr>
          <w:top w:val="nil"/>
          <w:left w:val="nil"/>
          <w:bottom w:val="nil"/>
          <w:right w:val="nil"/>
          <w:between w:val="nil"/>
        </w:pBdr>
        <w:spacing w:after="0" w:line="480" w:lineRule="auto"/>
        <w:ind w:firstLine="720"/>
        <w:jc w:val="both"/>
        <w:rPr>
          <w:color w:val="000000"/>
        </w:rPr>
      </w:pPr>
      <w:r w:rsidRPr="007F00C7">
        <w:rPr>
          <w:color w:val="000000"/>
        </w:rPr>
        <w:t>Mapping the mosaic of dominant ecohydrological controls on forest productivity in a landscape has recently become an exciting problem in ecology and geophysics, but it has also proven an elusive quarry (</w:t>
      </w:r>
      <w:proofErr w:type="spellStart"/>
      <w:r w:rsidRPr="007F00C7">
        <w:rPr>
          <w:color w:val="000000"/>
        </w:rPr>
        <w:t>Faybishenko</w:t>
      </w:r>
      <w:proofErr w:type="spellEnd"/>
      <w:r w:rsidRPr="007F00C7">
        <w:rPr>
          <w:color w:val="000000"/>
        </w:rPr>
        <w:t xml:space="preserve"> et al., 2023; Greenberg et al., 2009; Pelletier et al., 2018; </w:t>
      </w:r>
      <w:proofErr w:type="spellStart"/>
      <w:r w:rsidRPr="007F00C7">
        <w:rPr>
          <w:color w:val="000000"/>
        </w:rPr>
        <w:t>Roebroek</w:t>
      </w:r>
      <w:proofErr w:type="spellEnd"/>
      <w:r w:rsidRPr="007F00C7">
        <w:rPr>
          <w:color w:val="000000"/>
        </w:rPr>
        <w:t xml:space="preserve"> et al., 2020). One major challenge has been the difficulty of acquiring representative measurements of forest properties, particularly in complex, inaccessible terrain (</w:t>
      </w:r>
      <w:proofErr w:type="spellStart"/>
      <w:r w:rsidRPr="007F00C7">
        <w:rPr>
          <w:color w:val="000000"/>
        </w:rPr>
        <w:t>Antonarakis</w:t>
      </w:r>
      <w:proofErr w:type="spellEnd"/>
      <w:r w:rsidRPr="007F00C7">
        <w:rPr>
          <w:color w:val="000000"/>
        </w:rPr>
        <w:t xml:space="preserve"> et al., 2014; </w:t>
      </w:r>
      <w:proofErr w:type="spellStart"/>
      <w:r w:rsidRPr="007F00C7">
        <w:rPr>
          <w:color w:val="000000"/>
        </w:rPr>
        <w:t>Antonarakis</w:t>
      </w:r>
      <w:proofErr w:type="spellEnd"/>
      <w:r w:rsidRPr="007F00C7">
        <w:rPr>
          <w:color w:val="000000"/>
        </w:rPr>
        <w:t xml:space="preserve"> et al., 2011; Hurtt et al., 2004; </w:t>
      </w:r>
      <w:proofErr w:type="spellStart"/>
      <w:r w:rsidRPr="007F00C7">
        <w:rPr>
          <w:color w:val="000000"/>
        </w:rPr>
        <w:t>Lydersen</w:t>
      </w:r>
      <w:proofErr w:type="spellEnd"/>
      <w:r w:rsidRPr="007F00C7">
        <w:rPr>
          <w:color w:val="000000"/>
        </w:rPr>
        <w:t xml:space="preserve"> and North, 2012). Most prior work has relied on plot or transect observations (</w:t>
      </w:r>
      <w:proofErr w:type="gramStart"/>
      <w:r w:rsidRPr="007F00C7">
        <w:rPr>
          <w:color w:val="000000"/>
        </w:rPr>
        <w:t>e.g.</w:t>
      </w:r>
      <w:proofErr w:type="gramEnd"/>
      <w:r w:rsidRPr="007F00C7">
        <w:rPr>
          <w:color w:val="000000"/>
        </w:rPr>
        <w:t xml:space="preserve"> Knowles and Grant, 1983; Parker and Peet, 1984; </w:t>
      </w:r>
      <w:proofErr w:type="spellStart"/>
      <w:r w:rsidRPr="007F00C7">
        <w:rPr>
          <w:color w:val="000000"/>
        </w:rPr>
        <w:t>Kueppers</w:t>
      </w:r>
      <w:proofErr w:type="spellEnd"/>
      <w:r w:rsidRPr="007F00C7">
        <w:rPr>
          <w:color w:val="000000"/>
        </w:rPr>
        <w:t xml:space="preserve"> and Harte 2005). Even within mature closed-canopy forests, stand density, age-class distribution, allometry, and species dominance can vary widely over space. Additionally, subalpine disturbance and recovery dynamics operate on such long timescales that it can be difficult to distinguish transient post-disturbance characteristics from long-term average site potential. Drawing inferences about such properties from plot observations alone can yield substantial error.</w:t>
      </w:r>
    </w:p>
    <w:p w14:paraId="00000017" w14:textId="064B5218" w:rsidR="001527B5" w:rsidRPr="007F00C7" w:rsidRDefault="00000000">
      <w:pPr>
        <w:pBdr>
          <w:top w:val="nil"/>
          <w:left w:val="nil"/>
          <w:bottom w:val="nil"/>
          <w:right w:val="nil"/>
          <w:between w:val="nil"/>
        </w:pBdr>
        <w:spacing w:after="0" w:line="480" w:lineRule="auto"/>
        <w:ind w:firstLine="720"/>
        <w:jc w:val="both"/>
        <w:rPr>
          <w:color w:val="000000"/>
        </w:rPr>
      </w:pPr>
      <w:r w:rsidRPr="007F00C7">
        <w:rPr>
          <w:color w:val="000000"/>
        </w:rPr>
        <w:t xml:space="preserve">Light Detection and Ranging (LiDAR) helps to overcome some of these limitations by enabling measurement of forest structure on a spatially continuous basis (Mallet and </w:t>
      </w:r>
      <w:proofErr w:type="spellStart"/>
      <w:r w:rsidRPr="007F00C7">
        <w:rPr>
          <w:color w:val="000000"/>
        </w:rPr>
        <w:t>Bretar</w:t>
      </w:r>
      <w:proofErr w:type="spellEnd"/>
      <w:r w:rsidRPr="007F00C7">
        <w:rPr>
          <w:color w:val="000000"/>
        </w:rPr>
        <w:t xml:space="preserve">, 2009). Full-waveform LiDAR data </w:t>
      </w:r>
      <w:proofErr w:type="gramStart"/>
      <w:r w:rsidRPr="007F00C7">
        <w:rPr>
          <w:color w:val="000000"/>
        </w:rPr>
        <w:t>in particular can</w:t>
      </w:r>
      <w:proofErr w:type="gramEnd"/>
      <w:r w:rsidRPr="007F00C7">
        <w:rPr>
          <w:color w:val="000000"/>
        </w:rPr>
        <w:t xml:space="preserve"> provide spatially rich information through the vertical forest profile (Mallet and </w:t>
      </w:r>
      <w:proofErr w:type="spellStart"/>
      <w:r w:rsidRPr="007F00C7">
        <w:rPr>
          <w:color w:val="000000"/>
        </w:rPr>
        <w:t>Bretar</w:t>
      </w:r>
      <w:proofErr w:type="spellEnd"/>
      <w:r w:rsidRPr="007F00C7">
        <w:rPr>
          <w:color w:val="000000"/>
        </w:rPr>
        <w:t>, 2009; Zhou and Popescu, 2019</w:t>
      </w:r>
      <w:r w:rsidR="004E7699" w:rsidRPr="007F00C7">
        <w:rPr>
          <w:color w:val="000000"/>
        </w:rPr>
        <w:t>) and are especially effective</w:t>
      </w:r>
      <w:r w:rsidRPr="007F00C7">
        <w:rPr>
          <w:color w:val="000000"/>
        </w:rPr>
        <w:t xml:space="preserve"> for characterizing mid- and sub-canopy structure (Adams et al., 2011; Anderson et al., 2016; </w:t>
      </w:r>
      <w:proofErr w:type="spellStart"/>
      <w:r w:rsidRPr="007F00C7">
        <w:rPr>
          <w:color w:val="000000"/>
        </w:rPr>
        <w:t>Chauve</w:t>
      </w:r>
      <w:proofErr w:type="spellEnd"/>
      <w:r w:rsidRPr="007F00C7">
        <w:rPr>
          <w:color w:val="000000"/>
        </w:rPr>
        <w:t xml:space="preserve"> et al., 2009). In addition, imaging spectroscopy has been </w:t>
      </w:r>
      <w:r w:rsidR="0059544E">
        <w:rPr>
          <w:color w:val="000000"/>
        </w:rPr>
        <w:t xml:space="preserve">widely </w:t>
      </w:r>
      <w:r w:rsidRPr="007F00C7">
        <w:rPr>
          <w:color w:val="000000"/>
        </w:rPr>
        <w:t xml:space="preserve">used to quantify species abundance and compositional patterns (Anderson et al., 2008; Falco et al., 2024b; Plourde et al., 2007). Integrating these </w:t>
      </w:r>
      <w:proofErr w:type="spellStart"/>
      <w:r w:rsidRPr="007F00C7">
        <w:rPr>
          <w:color w:val="000000"/>
        </w:rPr>
        <w:t>datastreams</w:t>
      </w:r>
      <w:proofErr w:type="spellEnd"/>
      <w:r w:rsidRPr="007F00C7">
        <w:rPr>
          <w:color w:val="000000"/>
        </w:rPr>
        <w:t xml:space="preserve"> can improve the dimensionality and detail of remote-sensing </w:t>
      </w:r>
      <w:r w:rsidRPr="007F00C7">
        <w:rPr>
          <w:color w:val="000000"/>
        </w:rPr>
        <w:lastRenderedPageBreak/>
        <w:t>ecosystem representation (Anderson et al., 2008; Chadwick et al., 2020; Falco et al., 2024b; Marrs and Ni-Meister, 2019).</w:t>
      </w:r>
    </w:p>
    <w:p w14:paraId="00000018" w14:textId="72B2CB3E" w:rsidR="001527B5" w:rsidRPr="007F00C7" w:rsidRDefault="00000000">
      <w:pPr>
        <w:pBdr>
          <w:top w:val="nil"/>
          <w:left w:val="nil"/>
          <w:bottom w:val="nil"/>
          <w:right w:val="nil"/>
          <w:between w:val="nil"/>
        </w:pBdr>
        <w:spacing w:after="0" w:line="480" w:lineRule="auto"/>
        <w:ind w:firstLine="720"/>
        <w:jc w:val="both"/>
        <w:rPr>
          <w:color w:val="000000"/>
        </w:rPr>
      </w:pPr>
      <w:r w:rsidRPr="007F00C7">
        <w:rPr>
          <w:color w:val="000000"/>
        </w:rPr>
        <w:t xml:space="preserve">Only a few studies have used LiDAR to evaluate forest structure and/or composition along multiple abiotic gradients in North American </w:t>
      </w:r>
      <w:r w:rsidR="00AE6643" w:rsidRPr="007F00C7">
        <w:t xml:space="preserve">forests (Kane et al., 2015; </w:t>
      </w:r>
      <w:proofErr w:type="spellStart"/>
      <w:r w:rsidR="00AE6643" w:rsidRPr="007F00C7">
        <w:t>Bolstad</w:t>
      </w:r>
      <w:proofErr w:type="spellEnd"/>
      <w:r w:rsidR="00AE6643" w:rsidRPr="007F00C7">
        <w:t xml:space="preserve"> et al., 2018; Greenberg et al., 2009; Fricker et al. 2019; Falco et al., 2024b)</w:t>
      </w:r>
      <w:r w:rsidRPr="007F00C7">
        <w:rPr>
          <w:color w:val="000000"/>
        </w:rPr>
        <w:t>. These projects used lower-density discrete LiDAR returns, which yielded valid canopy structural metrics (height and cover, e.g.) and statistical proxies of maximum density, but not detailed characterizations of the sub-canopy. To our knowledge, no prior study has (a) exploited the higher granularity of waveforms to estimate a suite of ecohydrologically important structural properties through the vertical forest profile, (b) integrated these estimates with species composition, and (c) characterized their associations with underlying environmental gradients on a spatially continuous basis.</w:t>
      </w:r>
    </w:p>
    <w:p w14:paraId="00000019" w14:textId="3E83B195" w:rsidR="001527B5" w:rsidRPr="007F00C7" w:rsidRDefault="00000000">
      <w:pPr>
        <w:pBdr>
          <w:top w:val="nil"/>
          <w:left w:val="nil"/>
          <w:bottom w:val="nil"/>
          <w:right w:val="nil"/>
          <w:between w:val="nil"/>
        </w:pBdr>
        <w:spacing w:after="0" w:line="480" w:lineRule="auto"/>
        <w:ind w:firstLine="720"/>
        <w:jc w:val="both"/>
        <w:rPr>
          <w:color w:val="000000"/>
        </w:rPr>
      </w:pPr>
      <w:r w:rsidRPr="007F00C7">
        <w:rPr>
          <w:color w:val="000000"/>
        </w:rPr>
        <w:t>To address th</w:t>
      </w:r>
      <w:r w:rsidR="00F728F1" w:rsidRPr="007F00C7">
        <w:rPr>
          <w:color w:val="000000"/>
        </w:rPr>
        <w:t>e</w:t>
      </w:r>
      <w:r w:rsidRPr="007F00C7">
        <w:rPr>
          <w:color w:val="000000"/>
        </w:rPr>
        <w:t>s</w:t>
      </w:r>
      <w:r w:rsidR="00F728F1" w:rsidRPr="007F00C7">
        <w:rPr>
          <w:color w:val="000000"/>
        </w:rPr>
        <w:t>e</w:t>
      </w:r>
      <w:r w:rsidRPr="007F00C7">
        <w:rPr>
          <w:color w:val="000000"/>
        </w:rPr>
        <w:t xml:space="preserve"> gap</w:t>
      </w:r>
      <w:r w:rsidR="00F728F1" w:rsidRPr="007F00C7">
        <w:rPr>
          <w:color w:val="000000"/>
        </w:rPr>
        <w:t>s</w:t>
      </w:r>
      <w:r w:rsidRPr="007F00C7">
        <w:rPr>
          <w:color w:val="000000"/>
        </w:rPr>
        <w:t>, we pursued two objectives:</w:t>
      </w:r>
    </w:p>
    <w:p w14:paraId="0000001A" w14:textId="6EDB4A65" w:rsidR="001527B5" w:rsidRPr="007F00C7" w:rsidRDefault="00000000">
      <w:pPr>
        <w:numPr>
          <w:ilvl w:val="0"/>
          <w:numId w:val="1"/>
        </w:numPr>
        <w:pBdr>
          <w:top w:val="nil"/>
          <w:left w:val="nil"/>
          <w:bottom w:val="nil"/>
          <w:right w:val="nil"/>
          <w:between w:val="nil"/>
        </w:pBdr>
        <w:spacing w:after="0" w:line="480" w:lineRule="auto"/>
      </w:pPr>
      <w:r w:rsidRPr="007F00C7">
        <w:rPr>
          <w:color w:val="000000"/>
        </w:rPr>
        <w:t>To accurately predict conifer forest stand structure and composition across a Southern Rocky Mountain, USA, watershed</w:t>
      </w:r>
      <w:r w:rsidR="0059544E">
        <w:rPr>
          <w:color w:val="000000"/>
        </w:rPr>
        <w:t>.</w:t>
      </w:r>
    </w:p>
    <w:p w14:paraId="0000001B" w14:textId="77777777" w:rsidR="001527B5" w:rsidRPr="007F00C7" w:rsidRDefault="00000000">
      <w:pPr>
        <w:numPr>
          <w:ilvl w:val="0"/>
          <w:numId w:val="1"/>
        </w:numPr>
        <w:pBdr>
          <w:top w:val="nil"/>
          <w:left w:val="nil"/>
          <w:bottom w:val="nil"/>
          <w:right w:val="nil"/>
          <w:between w:val="nil"/>
        </w:pBdr>
        <w:spacing w:after="0" w:line="480" w:lineRule="auto"/>
      </w:pPr>
      <w:r w:rsidRPr="007F00C7">
        <w:rPr>
          <w:color w:val="000000"/>
        </w:rPr>
        <w:t>To quantify the relative influence of climate, topographic, edaphic, and geologic factors on conifer stand structure and composition, and their functional relationships.</w:t>
      </w:r>
    </w:p>
    <w:p w14:paraId="0000001C" w14:textId="77777777" w:rsidR="001527B5" w:rsidRPr="007F00C7" w:rsidRDefault="00000000">
      <w:pPr>
        <w:pBdr>
          <w:top w:val="nil"/>
          <w:left w:val="nil"/>
          <w:bottom w:val="nil"/>
          <w:right w:val="nil"/>
          <w:between w:val="nil"/>
        </w:pBdr>
        <w:spacing w:after="0" w:line="480" w:lineRule="auto"/>
        <w:rPr>
          <w:color w:val="000000"/>
        </w:rPr>
      </w:pPr>
      <w:r w:rsidRPr="007F00C7">
        <w:rPr>
          <w:color w:val="000000"/>
        </w:rPr>
        <w:t>We expected variables related to moisture availability</w:t>
      </w:r>
      <w:r w:rsidRPr="007F00C7">
        <w:t xml:space="preserve"> (</w:t>
      </w:r>
      <w:r w:rsidRPr="007F00C7">
        <w:rPr>
          <w:color w:val="000000"/>
        </w:rPr>
        <w:t>CWD, AET, snow-water equivalent (SWE)) and radiation</w:t>
      </w:r>
      <w:r w:rsidRPr="007F00C7">
        <w:t xml:space="preserve"> (</w:t>
      </w:r>
      <w:r w:rsidRPr="007F00C7">
        <w:rPr>
          <w:color w:val="000000"/>
        </w:rPr>
        <w:t>elevation, heat load</w:t>
      </w:r>
      <w:r w:rsidRPr="007F00C7">
        <w:t xml:space="preserve">) </w:t>
      </w:r>
      <w:r w:rsidRPr="007F00C7">
        <w:rPr>
          <w:color w:val="000000"/>
        </w:rPr>
        <w:t>to predominate among multiple interacting factors in explaining stand structural and compositional variation. Further, we expected spruce-fir to dominate north-facing slopes and higher elevation positions, and pine to dominate lower-elevation south-facing slopes.</w:t>
      </w:r>
    </w:p>
    <w:p w14:paraId="0000001D" w14:textId="77777777" w:rsidR="001527B5" w:rsidRPr="007F00C7" w:rsidRDefault="00000000">
      <w:pPr>
        <w:pStyle w:val="Heading1"/>
        <w:rPr>
          <w:rFonts w:ascii="Times New Roman" w:hAnsi="Times New Roman" w:cs="Times New Roman"/>
        </w:rPr>
      </w:pPr>
      <w:bookmarkStart w:id="2" w:name="bookmark=id.1fob9te" w:colFirst="0" w:colLast="0"/>
      <w:bookmarkEnd w:id="2"/>
      <w:r w:rsidRPr="007F00C7">
        <w:rPr>
          <w:rFonts w:ascii="Times New Roman" w:hAnsi="Times New Roman" w:cs="Times New Roman"/>
        </w:rPr>
        <w:lastRenderedPageBreak/>
        <w:t>2. Methods</w:t>
      </w:r>
    </w:p>
    <w:p w14:paraId="0000001E" w14:textId="77777777" w:rsidR="001527B5" w:rsidRPr="007F00C7" w:rsidRDefault="00000000">
      <w:pPr>
        <w:pStyle w:val="Heading2"/>
        <w:rPr>
          <w:rFonts w:ascii="Times New Roman" w:hAnsi="Times New Roman" w:cs="Times New Roman"/>
        </w:rPr>
      </w:pPr>
      <w:bookmarkStart w:id="3" w:name="bookmark=id.3znysh7" w:colFirst="0" w:colLast="0"/>
      <w:bookmarkEnd w:id="3"/>
      <w:r w:rsidRPr="007F00C7">
        <w:rPr>
          <w:rFonts w:ascii="Times New Roman" w:hAnsi="Times New Roman" w:cs="Times New Roman"/>
        </w:rPr>
        <w:t>2.1. Study area</w:t>
      </w:r>
    </w:p>
    <w:p w14:paraId="0000001F" w14:textId="753CF32A" w:rsidR="001527B5" w:rsidRPr="007F00C7" w:rsidRDefault="00000000">
      <w:pPr>
        <w:pBdr>
          <w:top w:val="nil"/>
          <w:left w:val="nil"/>
          <w:bottom w:val="nil"/>
          <w:right w:val="nil"/>
          <w:between w:val="nil"/>
        </w:pBdr>
        <w:spacing w:after="0" w:line="480" w:lineRule="auto"/>
        <w:ind w:firstLine="720"/>
        <w:jc w:val="both"/>
        <w:rPr>
          <w:color w:val="000000"/>
        </w:rPr>
      </w:pPr>
      <w:r w:rsidRPr="007F00C7">
        <w:rPr>
          <w:color w:val="000000"/>
        </w:rPr>
        <w:t>The study domain comprised upper montane-subalpine conifer forests in Colorado’s East River watershed (38°55’ N, 106°56’ W; Fig. 1). The East River is a headwater tributary of the Colorado River, the principal freshwater source for one in 10 people in the U.S. (U.S. Department of Interior, Bureau of Reclamation, 2012). The 750 km</w:t>
      </w:r>
      <w:r w:rsidRPr="007F00C7">
        <w:rPr>
          <w:color w:val="000000"/>
          <w:vertAlign w:val="superscript"/>
        </w:rPr>
        <w:t>2</w:t>
      </w:r>
      <w:r w:rsidRPr="007F00C7">
        <w:rPr>
          <w:color w:val="000000"/>
        </w:rPr>
        <w:t xml:space="preserve"> catchment includes six major drainages discharging to perennial streams. Mean annual air temperature is 1.9 º C, with a mean monthly maximum and minimum of 11.2 º C and –7.1 º C respectively, measured 1980–2023 at the NOAA Crested Butte weather station (GHCND USC00051959) at 2700 m near the center of the watershed (Berkeley Earth, 2022). Mean annual precipitation is 1400 mm y</w:t>
      </w:r>
      <w:r w:rsidRPr="007F00C7">
        <w:rPr>
          <w:color w:val="000000"/>
          <w:vertAlign w:val="superscript"/>
        </w:rPr>
        <w:t>–1</w:t>
      </w:r>
      <w:r w:rsidRPr="007F00C7">
        <w:rPr>
          <w:color w:val="000000"/>
        </w:rPr>
        <w:t xml:space="preserve">, approximately 85 </w:t>
      </w:r>
      <w:r w:rsidR="007A5C35">
        <w:rPr>
          <w:color w:val="000000"/>
        </w:rPr>
        <w:t xml:space="preserve">% </w:t>
      </w:r>
      <w:r w:rsidRPr="007F00C7">
        <w:rPr>
          <w:color w:val="000000"/>
        </w:rPr>
        <w:t xml:space="preserve">snow (Carroll et al., 2022). Beyond these synoptic trends, the domain’s 1420 m of elevational relief and pronounced gradients in slope, aspect, insolation, and hillslope position produce highly variable local climatic conditions (U.S. Geological Survey, 2017). In the domain’s forests, slopes range from 0.5º to 49º, with a median of 17º. Aspects are well distributed around the compass, albeit with a slight southwestern bias. Cretaceous Mancos shale underlies 34 </w:t>
      </w:r>
      <w:r w:rsidR="007A5C35">
        <w:rPr>
          <w:color w:val="000000"/>
        </w:rPr>
        <w:t>%</w:t>
      </w:r>
      <w:r w:rsidRPr="007F00C7">
        <w:rPr>
          <w:color w:val="000000"/>
        </w:rPr>
        <w:t xml:space="preserve"> of the forested domain; Middle-Tertiary granodioritic laccoliths, dykes, and sills underly 24 </w:t>
      </w:r>
      <w:r w:rsidR="007A5C35">
        <w:rPr>
          <w:color w:val="000000"/>
        </w:rPr>
        <w:t>%</w:t>
      </w:r>
      <w:r w:rsidRPr="007F00C7">
        <w:rPr>
          <w:color w:val="000000"/>
        </w:rPr>
        <w:t xml:space="preserve">; and the coal-bearing sandstone-silt deposits of the cretaceous Mesa Verde Formation another 21 </w:t>
      </w:r>
      <w:r w:rsidR="007A5C35">
        <w:rPr>
          <w:color w:val="000000"/>
        </w:rPr>
        <w:t>%</w:t>
      </w:r>
      <w:r w:rsidRPr="007F00C7">
        <w:rPr>
          <w:color w:val="000000"/>
        </w:rPr>
        <w:t xml:space="preserve"> (</w:t>
      </w:r>
      <w:proofErr w:type="spellStart"/>
      <w:r w:rsidRPr="007F00C7">
        <w:rPr>
          <w:color w:val="000000"/>
        </w:rPr>
        <w:t>Streufert</w:t>
      </w:r>
      <w:proofErr w:type="spellEnd"/>
      <w:r w:rsidRPr="007F00C7">
        <w:rPr>
          <w:color w:val="000000"/>
        </w:rPr>
        <w:t>, 1999). Available water capacity (AWC) in the top 100 cm of soil ranges widely, from 0.02 to 0.19 cm H</w:t>
      </w:r>
      <w:r w:rsidRPr="007F00C7">
        <w:rPr>
          <w:color w:val="000000"/>
          <w:vertAlign w:val="subscript"/>
        </w:rPr>
        <w:t>2</w:t>
      </w:r>
      <w:r w:rsidRPr="007F00C7">
        <w:rPr>
          <w:color w:val="000000"/>
        </w:rPr>
        <w:t>O cm soil</w:t>
      </w:r>
      <w:r w:rsidR="00F728F1" w:rsidRPr="007F00C7">
        <w:rPr>
          <w:color w:val="000000"/>
          <w:vertAlign w:val="superscript"/>
        </w:rPr>
        <w:t>–1</w:t>
      </w:r>
      <w:r w:rsidRPr="007F00C7">
        <w:rPr>
          <w:color w:val="000000"/>
        </w:rPr>
        <w:t xml:space="preserve"> (Soil Survey Staff, Natural Resources Conservation Service, United States Department of Agriculture, 2023).</w:t>
      </w:r>
    </w:p>
    <w:p w14:paraId="00000020" w14:textId="5F68BB4D" w:rsidR="001527B5" w:rsidRPr="007F00C7" w:rsidRDefault="00000000">
      <w:pPr>
        <w:pBdr>
          <w:top w:val="nil"/>
          <w:left w:val="nil"/>
          <w:bottom w:val="nil"/>
          <w:right w:val="nil"/>
          <w:between w:val="nil"/>
        </w:pBdr>
        <w:spacing w:after="0" w:line="480" w:lineRule="auto"/>
        <w:ind w:firstLine="720"/>
        <w:jc w:val="both"/>
        <w:rPr>
          <w:color w:val="000000"/>
        </w:rPr>
      </w:pPr>
      <w:r w:rsidRPr="007F00C7">
        <w:rPr>
          <w:color w:val="000000"/>
        </w:rPr>
        <w:t xml:space="preserve">The covariability of vegetation and abiotic factors has been previously studied in this watershed. </w:t>
      </w:r>
      <w:proofErr w:type="spellStart"/>
      <w:r w:rsidRPr="007F00C7">
        <w:rPr>
          <w:color w:val="000000"/>
        </w:rPr>
        <w:t>Langenheim’s</w:t>
      </w:r>
      <w:proofErr w:type="spellEnd"/>
      <w:r w:rsidRPr="007F00C7">
        <w:rPr>
          <w:color w:val="000000"/>
        </w:rPr>
        <w:t xml:space="preserve"> (1962)</w:t>
      </w:r>
      <w:r w:rsidRPr="007F00C7">
        <w:t xml:space="preserve"> </w:t>
      </w:r>
      <w:r w:rsidRPr="007F00C7">
        <w:rPr>
          <w:color w:val="000000"/>
        </w:rPr>
        <w:t xml:space="preserve">descriptive survey revealed an affinity for north-facing slopes and limestone parent material among conifer species. Wainwright et al. (2022) found conifer </w:t>
      </w:r>
      <w:r w:rsidRPr="007F00C7">
        <w:rPr>
          <w:color w:val="000000"/>
        </w:rPr>
        <w:lastRenderedPageBreak/>
        <w:t xml:space="preserve">stands associated with steep, mid-elevation hillslopes with less fractured bedrock </w:t>
      </w:r>
      <w:r w:rsidRPr="007F00C7">
        <w:t>in</w:t>
      </w:r>
      <w:r w:rsidRPr="007F00C7">
        <w:rPr>
          <w:color w:val="000000"/>
        </w:rPr>
        <w:t xml:space="preserve"> an a</w:t>
      </w:r>
      <w:r w:rsidRPr="007F00C7">
        <w:t>nalysis integrating airborne hyperspectral and electromagnetic (AEM) surveys with digital elevation and snow data</w:t>
      </w:r>
      <w:r w:rsidRPr="007F00C7">
        <w:rPr>
          <w:color w:val="000000"/>
        </w:rPr>
        <w:t xml:space="preserve">. They also found elevation, aspect, and geologic substrate to be the primary factors associated with plant sensitivity to early snowmelt and growing-season drought. </w:t>
      </w:r>
      <w:proofErr w:type="spellStart"/>
      <w:r w:rsidRPr="007F00C7">
        <w:rPr>
          <w:color w:val="000000"/>
        </w:rPr>
        <w:t>Uhlemann</w:t>
      </w:r>
      <w:proofErr w:type="spellEnd"/>
      <w:r w:rsidRPr="007F00C7">
        <w:rPr>
          <w:color w:val="000000"/>
        </w:rPr>
        <w:t xml:space="preserve"> et al. (2022) </w:t>
      </w:r>
      <w:r w:rsidRPr="007F00C7">
        <w:t>used AEM surveys and field samples to show</w:t>
      </w:r>
      <w:r w:rsidRPr="007F00C7">
        <w:rPr>
          <w:color w:val="000000"/>
        </w:rPr>
        <w:t xml:space="preserve"> that bedrock properties can be reliably estimated as a function of geomorphological features and plant functional types. Further, a recent study mapping the watershed’s dominant plant species through imaging spectroscopy revealed broad heterogeneity in forest species distributions, phenological dynamics, and leaf functional traits, strongly influenced by topographic wetness, solar insolation, and slope (Falco et al., 2024b).</w:t>
      </w:r>
    </w:p>
    <w:p w14:paraId="00000021" w14:textId="033984EE" w:rsidR="001527B5" w:rsidRPr="007F00C7" w:rsidRDefault="00000000">
      <w:pPr>
        <w:pBdr>
          <w:top w:val="nil"/>
          <w:left w:val="nil"/>
          <w:bottom w:val="nil"/>
          <w:right w:val="nil"/>
          <w:between w:val="nil"/>
        </w:pBdr>
        <w:spacing w:after="0" w:line="480" w:lineRule="auto"/>
        <w:ind w:firstLine="720"/>
        <w:jc w:val="both"/>
        <w:rPr>
          <w:color w:val="000000"/>
        </w:rPr>
      </w:pPr>
      <w:r w:rsidRPr="007F00C7">
        <w:rPr>
          <w:color w:val="000000"/>
        </w:rPr>
        <w:t>Within the watershed’s forests, the dominant tree species are Engelmann spruce (</w:t>
      </w:r>
      <w:proofErr w:type="spellStart"/>
      <w:r w:rsidRPr="007F00C7">
        <w:rPr>
          <w:i/>
          <w:color w:val="000000"/>
        </w:rPr>
        <w:t>Picea</w:t>
      </w:r>
      <w:proofErr w:type="spellEnd"/>
      <w:r w:rsidRPr="007F00C7">
        <w:rPr>
          <w:i/>
          <w:color w:val="000000"/>
        </w:rPr>
        <w:t xml:space="preserve"> </w:t>
      </w:r>
      <w:proofErr w:type="spellStart"/>
      <w:r w:rsidRPr="007F00C7">
        <w:rPr>
          <w:i/>
          <w:color w:val="000000"/>
        </w:rPr>
        <w:t>engelmannii</w:t>
      </w:r>
      <w:proofErr w:type="spellEnd"/>
      <w:r w:rsidRPr="007F00C7">
        <w:rPr>
          <w:color w:val="000000"/>
        </w:rPr>
        <w:t>), subalpine fir (</w:t>
      </w:r>
      <w:r w:rsidRPr="007F00C7">
        <w:rPr>
          <w:i/>
          <w:color w:val="000000"/>
        </w:rPr>
        <w:t xml:space="preserve">Abies </w:t>
      </w:r>
      <w:proofErr w:type="spellStart"/>
      <w:r w:rsidRPr="007F00C7">
        <w:rPr>
          <w:i/>
          <w:color w:val="000000"/>
        </w:rPr>
        <w:t>lasiocarpa</w:t>
      </w:r>
      <w:proofErr w:type="spellEnd"/>
      <w:r w:rsidRPr="007F00C7">
        <w:rPr>
          <w:color w:val="000000"/>
        </w:rPr>
        <w:t>), lodgepole pine (</w:t>
      </w:r>
      <w:r w:rsidRPr="007F00C7">
        <w:rPr>
          <w:i/>
          <w:color w:val="000000"/>
        </w:rPr>
        <w:t xml:space="preserve">Pinus contorta var. </w:t>
      </w:r>
      <w:proofErr w:type="spellStart"/>
      <w:r w:rsidRPr="007F00C7">
        <w:rPr>
          <w:i/>
          <w:color w:val="000000"/>
        </w:rPr>
        <w:t>lasiocarpa</w:t>
      </w:r>
      <w:proofErr w:type="spellEnd"/>
      <w:r w:rsidRPr="007F00C7">
        <w:rPr>
          <w:color w:val="000000"/>
        </w:rPr>
        <w:t>), and quaking aspen (</w:t>
      </w:r>
      <w:r w:rsidRPr="007F00C7">
        <w:rPr>
          <w:i/>
          <w:color w:val="000000"/>
        </w:rPr>
        <w:t xml:space="preserve">Populus </w:t>
      </w:r>
      <w:proofErr w:type="spellStart"/>
      <w:r w:rsidRPr="007F00C7">
        <w:rPr>
          <w:i/>
          <w:color w:val="000000"/>
        </w:rPr>
        <w:t>tremuloides</w:t>
      </w:r>
      <w:proofErr w:type="spellEnd"/>
      <w:r w:rsidRPr="007F00C7">
        <w:rPr>
          <w:color w:val="000000"/>
        </w:rPr>
        <w:t>), with occasional Douglas fir (</w:t>
      </w:r>
      <w:proofErr w:type="spellStart"/>
      <w:r w:rsidRPr="007F00C7">
        <w:rPr>
          <w:i/>
          <w:color w:val="000000"/>
        </w:rPr>
        <w:t>Pseudotsuga</w:t>
      </w:r>
      <w:proofErr w:type="spellEnd"/>
      <w:r w:rsidRPr="007F00C7">
        <w:rPr>
          <w:i/>
          <w:color w:val="000000"/>
        </w:rPr>
        <w:t xml:space="preserve"> </w:t>
      </w:r>
      <w:proofErr w:type="spellStart"/>
      <w:r w:rsidRPr="007F00C7">
        <w:rPr>
          <w:i/>
          <w:color w:val="000000"/>
        </w:rPr>
        <w:t>menziesii</w:t>
      </w:r>
      <w:proofErr w:type="spellEnd"/>
      <w:r w:rsidRPr="007F00C7">
        <w:rPr>
          <w:i/>
          <w:color w:val="000000"/>
        </w:rPr>
        <w:t xml:space="preserve"> var. glauca</w:t>
      </w:r>
      <w:r w:rsidRPr="007F00C7">
        <w:rPr>
          <w:color w:val="000000"/>
        </w:rPr>
        <w:t xml:space="preserve">) and a few known sentinel limber </w:t>
      </w:r>
      <w:proofErr w:type="gramStart"/>
      <w:r w:rsidRPr="007F00C7">
        <w:rPr>
          <w:color w:val="000000"/>
        </w:rPr>
        <w:t>pine</w:t>
      </w:r>
      <w:proofErr w:type="gramEnd"/>
      <w:r w:rsidRPr="007F00C7">
        <w:rPr>
          <w:color w:val="000000"/>
        </w:rPr>
        <w:t xml:space="preserve"> (</w:t>
      </w:r>
      <w:r w:rsidRPr="007F00C7">
        <w:rPr>
          <w:i/>
          <w:color w:val="000000"/>
        </w:rPr>
        <w:t xml:space="preserve">Pinus </w:t>
      </w:r>
      <w:proofErr w:type="spellStart"/>
      <w:r w:rsidRPr="007F00C7">
        <w:rPr>
          <w:i/>
          <w:color w:val="000000"/>
        </w:rPr>
        <w:t>flexilis</w:t>
      </w:r>
      <w:proofErr w:type="spellEnd"/>
      <w:r w:rsidRPr="007F00C7">
        <w:rPr>
          <w:color w:val="000000"/>
        </w:rPr>
        <w:t xml:space="preserve">). Natural histories of subalpine forests elsewhere in Colorado describe species distribution patterns that largely hold in this domain (Peet, 1978a, 1978b). Engelmann spruce and subalpine fir tend to co-occur in high densities throughout the subalpine zone (~2700–3400 </w:t>
      </w:r>
      <w:proofErr w:type="spellStart"/>
      <w:r w:rsidRPr="007F00C7">
        <w:rPr>
          <w:color w:val="000000"/>
        </w:rPr>
        <w:t>m.a.s.l</w:t>
      </w:r>
      <w:proofErr w:type="spellEnd"/>
      <w:r w:rsidRPr="007F00C7">
        <w:rPr>
          <w:color w:val="000000"/>
        </w:rPr>
        <w:t xml:space="preserve">.) and only sparsely in the upper montane zone (~1850–2700 </w:t>
      </w:r>
      <w:proofErr w:type="spellStart"/>
      <w:r w:rsidRPr="007F00C7">
        <w:rPr>
          <w:color w:val="000000"/>
        </w:rPr>
        <w:t>m.a.s.l</w:t>
      </w:r>
      <w:proofErr w:type="spellEnd"/>
      <w:r w:rsidRPr="007F00C7">
        <w:rPr>
          <w:color w:val="000000"/>
        </w:rPr>
        <w:t xml:space="preserve">.) (Alexander, 1987; Falco et al., 2024b). At middle and high elevations up to </w:t>
      </w:r>
      <w:proofErr w:type="spellStart"/>
      <w:r w:rsidRPr="007F00C7">
        <w:rPr>
          <w:color w:val="000000"/>
        </w:rPr>
        <w:t>treeline</w:t>
      </w:r>
      <w:proofErr w:type="spellEnd"/>
      <w:r w:rsidRPr="007F00C7">
        <w:rPr>
          <w:color w:val="000000"/>
        </w:rPr>
        <w:t xml:space="preserve">, the longer-lived spruce often </w:t>
      </w:r>
      <w:proofErr w:type="gramStart"/>
      <w:r w:rsidRPr="007F00C7">
        <w:rPr>
          <w:color w:val="000000"/>
        </w:rPr>
        <w:t>dominate</w:t>
      </w:r>
      <w:proofErr w:type="gramEnd"/>
      <w:r w:rsidRPr="007F00C7">
        <w:rPr>
          <w:color w:val="000000"/>
        </w:rPr>
        <w:t xml:space="preserve"> the canopy (up to 75 </w:t>
      </w:r>
      <w:r w:rsidR="007A5C35">
        <w:rPr>
          <w:color w:val="000000"/>
        </w:rPr>
        <w:t>%</w:t>
      </w:r>
      <w:r w:rsidRPr="007F00C7">
        <w:rPr>
          <w:color w:val="000000"/>
        </w:rPr>
        <w:t xml:space="preserve"> of canopy basal area), while fir may occupy up to the same proportion of the understory (Alexander, 1987; Peet, 1978a). Fir </w:t>
      </w:r>
      <w:proofErr w:type="gramStart"/>
      <w:r w:rsidRPr="007F00C7">
        <w:rPr>
          <w:color w:val="000000"/>
        </w:rPr>
        <w:t>tend</w:t>
      </w:r>
      <w:proofErr w:type="gramEnd"/>
      <w:r w:rsidRPr="007F00C7">
        <w:rPr>
          <w:color w:val="000000"/>
        </w:rPr>
        <w:t xml:space="preserve"> to be dominant in the lower end of the subalpine zone (Alexander, 1987). Lodgepole pine also occur intermixed with spruce and fir on dry, southerly slopes in the lower subalpine zone (Veblen, 1986). Near the lower spruce-fir range limits, lodgepole often establish as post-disturbance pioneers and mature to even-aged monospecific stands, which are later replaced by the former </w:t>
      </w:r>
      <w:r w:rsidRPr="007F00C7">
        <w:rPr>
          <w:color w:val="000000"/>
        </w:rPr>
        <w:lastRenderedPageBreak/>
        <w:t xml:space="preserve">species (Falco et al., 2024b; Whipple and Dix, 1979). Quaking </w:t>
      </w:r>
      <w:proofErr w:type="gramStart"/>
      <w:r w:rsidRPr="007F00C7">
        <w:rPr>
          <w:color w:val="000000"/>
        </w:rPr>
        <w:t>aspen</w:t>
      </w:r>
      <w:proofErr w:type="gramEnd"/>
      <w:r w:rsidRPr="007F00C7">
        <w:rPr>
          <w:color w:val="000000"/>
        </w:rPr>
        <w:t xml:space="preserve"> occur throughout the domain but are not the focus of this study.</w:t>
      </w:r>
    </w:p>
    <w:p w14:paraId="00000022" w14:textId="17071FBA" w:rsidR="001527B5" w:rsidRPr="007F00C7" w:rsidRDefault="00000000">
      <w:pPr>
        <w:pBdr>
          <w:top w:val="nil"/>
          <w:left w:val="nil"/>
          <w:bottom w:val="nil"/>
          <w:right w:val="nil"/>
          <w:between w:val="nil"/>
        </w:pBdr>
        <w:spacing w:after="0" w:line="480" w:lineRule="auto"/>
        <w:ind w:firstLine="720"/>
        <w:jc w:val="both"/>
        <w:rPr>
          <w:color w:val="000000"/>
        </w:rPr>
      </w:pPr>
      <w:r w:rsidRPr="007F00C7">
        <w:rPr>
          <w:color w:val="000000"/>
        </w:rPr>
        <w:t xml:space="preserve">Mining-related harvest impacted some parts of the watershed during the 19th and early 20th centuries, with a limited footprint enduring today. But there are extensive swaths of forest where no tree removal occurred, and mature stands of uneven age and size structure are well distributed. All forests in this analysis sit on U.S.D.A. Forest Service land, and 22 </w:t>
      </w:r>
      <w:r w:rsidR="007A5C35">
        <w:rPr>
          <w:color w:val="000000"/>
        </w:rPr>
        <w:t>%</w:t>
      </w:r>
      <w:r w:rsidRPr="007F00C7">
        <w:rPr>
          <w:color w:val="000000"/>
        </w:rPr>
        <w:t xml:space="preserve"> are in management-restricted wilderness. We suggest that because of their low timber value, long fire return intervals, and relative lack of recent management, they offer a valid basis for investigating abiotic influences on subalpine conifer forest structure.</w:t>
      </w:r>
    </w:p>
    <w:p w14:paraId="00000023" w14:textId="77777777" w:rsidR="001527B5" w:rsidRPr="007F00C7" w:rsidRDefault="00000000">
      <w:pPr>
        <w:pStyle w:val="Heading2"/>
        <w:rPr>
          <w:rFonts w:ascii="Times New Roman" w:hAnsi="Times New Roman" w:cs="Times New Roman"/>
        </w:rPr>
      </w:pPr>
      <w:bookmarkStart w:id="4" w:name="bookmark=id.2et92p0" w:colFirst="0" w:colLast="0"/>
      <w:bookmarkEnd w:id="4"/>
      <w:r w:rsidRPr="007F00C7">
        <w:rPr>
          <w:rFonts w:ascii="Times New Roman" w:hAnsi="Times New Roman" w:cs="Times New Roman"/>
        </w:rPr>
        <w:t>2.2 Full-waveform LiDAR</w:t>
      </w:r>
    </w:p>
    <w:p w14:paraId="00000024" w14:textId="3292019B" w:rsidR="001527B5" w:rsidRPr="007F00C7" w:rsidRDefault="00000000">
      <w:pPr>
        <w:pBdr>
          <w:top w:val="nil"/>
          <w:left w:val="nil"/>
          <w:bottom w:val="nil"/>
          <w:right w:val="nil"/>
          <w:between w:val="nil"/>
        </w:pBdr>
        <w:spacing w:after="0" w:line="480" w:lineRule="auto"/>
        <w:ind w:firstLine="720"/>
        <w:jc w:val="both"/>
        <w:rPr>
          <w:color w:val="000000"/>
        </w:rPr>
      </w:pPr>
      <w:r w:rsidRPr="007F00C7">
        <w:rPr>
          <w:color w:val="000000"/>
        </w:rPr>
        <w:t>Between June 12 and 26, 2018, the National Science Foundation National Ecological Observatory Network (NEON) Airborne Observation Platform (AOP) (</w:t>
      </w:r>
      <w:proofErr w:type="spellStart"/>
      <w:r w:rsidRPr="007F00C7">
        <w:rPr>
          <w:color w:val="000000"/>
        </w:rPr>
        <w:t>Kampe</w:t>
      </w:r>
      <w:proofErr w:type="spellEnd"/>
      <w:r w:rsidRPr="007F00C7">
        <w:rPr>
          <w:color w:val="000000"/>
        </w:rPr>
        <w:t>, 2010) surveyed approximately 330 km</w:t>
      </w:r>
      <w:r w:rsidRPr="007F00C7">
        <w:rPr>
          <w:color w:val="000000"/>
          <w:vertAlign w:val="superscript"/>
        </w:rPr>
        <w:t>2</w:t>
      </w:r>
      <w:r w:rsidRPr="007F00C7">
        <w:rPr>
          <w:color w:val="000000"/>
        </w:rPr>
        <w:t xml:space="preserve"> of the watershed (Fig. 1) (Chadwick et al., 2020; </w:t>
      </w:r>
      <w:proofErr w:type="spellStart"/>
      <w:r w:rsidRPr="007F00C7">
        <w:rPr>
          <w:color w:val="000000"/>
        </w:rPr>
        <w:t>Goulden</w:t>
      </w:r>
      <w:proofErr w:type="spellEnd"/>
      <w:r w:rsidRPr="007F00C7">
        <w:rPr>
          <w:color w:val="000000"/>
        </w:rPr>
        <w:t xml:space="preserve"> and </w:t>
      </w:r>
      <w:proofErr w:type="spellStart"/>
      <w:r w:rsidRPr="007F00C7">
        <w:rPr>
          <w:color w:val="000000"/>
        </w:rPr>
        <w:t>Musinsky</w:t>
      </w:r>
      <w:proofErr w:type="spellEnd"/>
      <w:r w:rsidRPr="007F00C7">
        <w:rPr>
          <w:color w:val="000000"/>
        </w:rPr>
        <w:t xml:space="preserve">, 2020). The AOP collected discrete-range and full-waveform LiDAR returns using an </w:t>
      </w:r>
      <w:proofErr w:type="spellStart"/>
      <w:r w:rsidRPr="007F00C7">
        <w:rPr>
          <w:color w:val="000000"/>
        </w:rPr>
        <w:t>Optech</w:t>
      </w:r>
      <w:proofErr w:type="spellEnd"/>
      <w:r w:rsidRPr="007F00C7">
        <w:rPr>
          <w:color w:val="000000"/>
        </w:rPr>
        <w:t xml:space="preserve"> Gemini discrete LiDAR sensor and waveform digitizer with a pulse repetition frequency between 33 and 100 kHz. Discrete-return point density in the post-processed dataset ranged between 1 and 9 returns m</w:t>
      </w:r>
      <w:r w:rsidR="00D175AB" w:rsidRPr="007F00C7">
        <w:rPr>
          <w:color w:val="000000"/>
          <w:vertAlign w:val="superscript"/>
        </w:rPr>
        <w:t>–</w:t>
      </w:r>
      <w:r w:rsidRPr="007F00C7">
        <w:rPr>
          <w:color w:val="000000"/>
          <w:vertAlign w:val="superscript"/>
        </w:rPr>
        <w:t>2</w:t>
      </w:r>
      <w:r w:rsidRPr="007F00C7">
        <w:rPr>
          <w:color w:val="000000"/>
        </w:rPr>
        <w:t>, which was insufficient for characterizing subcanopy structure. We therefore elected to exploit the higher information content of the full waveforms, with a nominal density between 1 and 4 pulses m</w:t>
      </w:r>
      <w:r w:rsidR="00D175AB" w:rsidRPr="007F00C7">
        <w:rPr>
          <w:color w:val="000000"/>
          <w:vertAlign w:val="superscript"/>
        </w:rPr>
        <w:t>–</w:t>
      </w:r>
      <w:r w:rsidRPr="007F00C7">
        <w:rPr>
          <w:color w:val="000000"/>
          <w:vertAlign w:val="superscript"/>
        </w:rPr>
        <w:t>2</w:t>
      </w:r>
      <w:r w:rsidRPr="007F00C7">
        <w:rPr>
          <w:color w:val="000000"/>
        </w:rPr>
        <w:t>.</w:t>
      </w:r>
    </w:p>
    <w:p w14:paraId="00000025" w14:textId="0715D5BC" w:rsidR="001527B5" w:rsidRPr="007F00C7" w:rsidRDefault="00000000">
      <w:pPr>
        <w:pBdr>
          <w:top w:val="nil"/>
          <w:left w:val="nil"/>
          <w:bottom w:val="nil"/>
          <w:right w:val="nil"/>
          <w:between w:val="nil"/>
        </w:pBdr>
        <w:spacing w:after="0" w:line="480" w:lineRule="auto"/>
        <w:ind w:firstLine="720"/>
        <w:jc w:val="both"/>
        <w:rPr>
          <w:color w:val="000000"/>
        </w:rPr>
      </w:pPr>
      <w:r w:rsidRPr="007F00C7">
        <w:rPr>
          <w:color w:val="000000"/>
        </w:rPr>
        <w:t>We followed a</w:t>
      </w:r>
      <w:r w:rsidR="000E183A" w:rsidRPr="007F00C7">
        <w:rPr>
          <w:color w:val="000000"/>
        </w:rPr>
        <w:t>n established</w:t>
      </w:r>
      <w:r w:rsidRPr="007F00C7">
        <w:rPr>
          <w:color w:val="000000"/>
        </w:rPr>
        <w:t xml:space="preserve"> preprocessing approach to prepare the waveforms for analysis. First, we deconvolved the target-response signal from its interactions with the outgoing pulse, atmospheric scattering, and system noise. We used the </w:t>
      </w:r>
      <w:proofErr w:type="gramStart"/>
      <w:r w:rsidRPr="007F00C7">
        <w:rPr>
          <w:color w:val="000000"/>
        </w:rPr>
        <w:t>Gold</w:t>
      </w:r>
      <w:proofErr w:type="gramEnd"/>
      <w:r w:rsidRPr="007F00C7">
        <w:rPr>
          <w:color w:val="000000"/>
        </w:rPr>
        <w:t xml:space="preserve"> deconvolution algorithm (Zhou and Popescu, 2019), but refactored it for parallel processing in the R statistical computing environment. </w:t>
      </w:r>
      <w:r w:rsidRPr="007F00C7">
        <w:rPr>
          <w:color w:val="000000"/>
        </w:rPr>
        <w:lastRenderedPageBreak/>
        <w:t>The output approximates the true distribution of scattering phenomena along the laser pulse’s path. We then applied adaptive decomposition to fit a sum of Gaussian models to the return pulse components:</w:t>
      </w:r>
    </w:p>
    <w:p w14:paraId="00000026" w14:textId="651BD106" w:rsidR="001527B5" w:rsidRPr="007F00C7" w:rsidRDefault="00000000">
      <w:pPr>
        <w:jc w:val="center"/>
        <w:rPr>
          <w:rFonts w:eastAsia="Cambria Math"/>
          <w:color w:val="000000"/>
        </w:rPr>
      </w:pPr>
      <w:bookmarkStart w:id="5" w:name="bookmark=id.tyjcwt" w:colFirst="0" w:colLast="0"/>
      <w:bookmarkEnd w:id="5"/>
      <m:oMathPara>
        <m:oMath>
          <m:r>
            <w:rPr>
              <w:rFonts w:ascii="Cambria Math" w:eastAsia="Cambria Math" w:hAnsi="Cambria Math"/>
              <w:color w:val="000000"/>
            </w:rPr>
            <m:t>f</m:t>
          </m:r>
          <m:d>
            <m:dPr>
              <m:ctrlPr>
                <w:rPr>
                  <w:rFonts w:ascii="Cambria Math" w:eastAsia="Cambria Math" w:hAnsi="Cambria Math"/>
                  <w:color w:val="000000"/>
                </w:rPr>
              </m:ctrlPr>
            </m:dPr>
            <m:e>
              <m:r>
                <w:rPr>
                  <w:rFonts w:ascii="Cambria Math" w:eastAsia="Cambria Math" w:hAnsi="Cambria Math"/>
                  <w:color w:val="000000"/>
                </w:rPr>
                <m:t>x,θ</m:t>
              </m:r>
            </m:e>
          </m:d>
          <m:r>
            <w:rPr>
              <w:rFonts w:ascii="Cambria Math" w:eastAsia="Cambria Math" w:hAnsi="Cambria Math"/>
              <w:color w:val="000000"/>
            </w:rPr>
            <m:t>=</m:t>
          </m:r>
          <m:nary>
            <m:naryPr>
              <m:chr m:val="∑"/>
              <m:ctrlPr>
                <w:rPr>
                  <w:rFonts w:ascii="Cambria Math" w:eastAsia="Cambria Math" w:hAnsi="Cambria Math"/>
                  <w:color w:val="000000"/>
                </w:rPr>
              </m:ctrlPr>
            </m:naryPr>
            <m:sub>
              <m:d>
                <m:dPr>
                  <m:ctrlPr>
                    <w:rPr>
                      <w:rFonts w:ascii="Cambria Math" w:eastAsia="Cambria Math" w:hAnsi="Cambria Math"/>
                      <w:color w:val="000000"/>
                    </w:rPr>
                  </m:ctrlPr>
                </m:dPr>
                <m:e>
                  <m:r>
                    <w:rPr>
                      <w:rFonts w:ascii="Cambria Math" w:eastAsia="Cambria Math" w:hAnsi="Cambria Math"/>
                      <w:color w:val="000000"/>
                    </w:rPr>
                    <m:t>i=1</m:t>
                  </m:r>
                </m:e>
              </m:d>
            </m:sub>
            <m:sup>
              <m:r>
                <w:rPr>
                  <w:rFonts w:ascii="Cambria Math" w:eastAsia="Cambria Math" w:hAnsi="Cambria Math"/>
                  <w:color w:val="000000"/>
                </w:rPr>
                <m:t>n</m:t>
              </m:r>
            </m:sup>
            <m:e>
              <m:sSub>
                <m:sSubPr>
                  <m:ctrlPr>
                    <w:rPr>
                      <w:rFonts w:ascii="Cambria Math" w:eastAsia="Cambria Math" w:hAnsi="Cambria Math"/>
                      <w:color w:val="000000"/>
                    </w:rPr>
                  </m:ctrlPr>
                </m:sSubPr>
                <m:e>
                  <m:r>
                    <w:rPr>
                      <w:rFonts w:ascii="Cambria Math" w:eastAsia="Cambria Math" w:hAnsi="Cambria Math"/>
                      <w:color w:val="000000"/>
                    </w:rPr>
                    <m:t>A</m:t>
                  </m:r>
                </m:e>
                <m:sub>
                  <m:r>
                    <w:rPr>
                      <w:rFonts w:ascii="Cambria Math" w:eastAsia="Cambria Math" w:hAnsi="Cambria Math"/>
                      <w:color w:val="000000"/>
                    </w:rPr>
                    <m:t>i</m:t>
                  </m:r>
                </m:sub>
              </m:sSub>
              <m:r>
                <w:rPr>
                  <w:rFonts w:ascii="Cambria Math" w:eastAsia="Cambria Math" w:hAnsi="Cambria Math"/>
                  <w:color w:val="000000"/>
                </w:rPr>
                <m:t>×exp</m:t>
              </m:r>
              <m:d>
                <m:dPr>
                  <m:begChr m:val="["/>
                  <m:endChr m:val="]"/>
                  <m:ctrlPr>
                    <w:rPr>
                      <w:rFonts w:ascii="Cambria Math" w:eastAsia="Cambria Math" w:hAnsi="Cambria Math"/>
                      <w:color w:val="000000"/>
                    </w:rPr>
                  </m:ctrlPr>
                </m:dPr>
                <m:e>
                  <m:r>
                    <w:rPr>
                      <w:rFonts w:ascii="Cambria Math" w:eastAsia="Cambria Math" w:hAnsi="Cambria Math"/>
                      <w:color w:val="000000"/>
                    </w:rPr>
                    <m:t>-</m:t>
                  </m:r>
                  <m:f>
                    <m:fPr>
                      <m:ctrlPr>
                        <w:rPr>
                          <w:rFonts w:ascii="Cambria Math" w:eastAsia="Cambria Math" w:hAnsi="Cambria Math"/>
                          <w:color w:val="000000"/>
                        </w:rPr>
                      </m:ctrlPr>
                    </m:fPr>
                    <m:num>
                      <m:sSup>
                        <m:sSupPr>
                          <m:ctrlPr>
                            <w:rPr>
                              <w:rFonts w:ascii="Cambria Math" w:eastAsia="Cambria Math" w:hAnsi="Cambria Math"/>
                              <w:color w:val="000000"/>
                            </w:rPr>
                          </m:ctrlPr>
                        </m:sSupPr>
                        <m:e>
                          <m:d>
                            <m:dPr>
                              <m:ctrlPr>
                                <w:rPr>
                                  <w:rFonts w:ascii="Cambria Math" w:eastAsia="Cambria Math" w:hAnsi="Cambria Math"/>
                                  <w:color w:val="000000"/>
                                </w:rPr>
                              </m:ctrlPr>
                            </m:dPr>
                            <m:e>
                              <m:r>
                                <w:rPr>
                                  <w:rFonts w:ascii="Cambria Math" w:eastAsia="Cambria Math" w:hAnsi="Cambria Math"/>
                                  <w:color w:val="000000"/>
                                </w:rPr>
                                <m:t>x-</m:t>
                              </m:r>
                              <m:sSub>
                                <m:sSubPr>
                                  <m:ctrlPr>
                                    <w:rPr>
                                      <w:rFonts w:ascii="Cambria Math" w:eastAsia="Cambria Math" w:hAnsi="Cambria Math"/>
                                      <w:color w:val="000000"/>
                                    </w:rPr>
                                  </m:ctrlPr>
                                </m:sSubPr>
                                <m:e>
                                  <m:r>
                                    <w:rPr>
                                      <w:rFonts w:ascii="Cambria Math" w:eastAsia="Cambria Math" w:hAnsi="Cambria Math"/>
                                      <w:color w:val="000000"/>
                                    </w:rPr>
                                    <m:t>μ</m:t>
                                  </m:r>
                                </m:e>
                                <m:sub>
                                  <m:r>
                                    <w:rPr>
                                      <w:rFonts w:ascii="Cambria Math" w:eastAsia="Cambria Math" w:hAnsi="Cambria Math"/>
                                      <w:color w:val="000000"/>
                                    </w:rPr>
                                    <m:t>i</m:t>
                                  </m:r>
                                </m:sub>
                              </m:sSub>
                            </m:e>
                          </m:d>
                        </m:e>
                        <m:sup>
                          <m:r>
                            <w:rPr>
                              <w:rFonts w:ascii="Cambria Math" w:eastAsia="Cambria Math" w:hAnsi="Cambria Math"/>
                              <w:color w:val="000000"/>
                            </w:rPr>
                            <m:t>λ</m:t>
                          </m:r>
                        </m:sup>
                      </m:sSup>
                    </m:num>
                    <m:den>
                      <m:d>
                        <m:dPr>
                          <m:ctrlPr>
                            <w:rPr>
                              <w:rFonts w:ascii="Cambria Math" w:eastAsia="Cambria Math" w:hAnsi="Cambria Math"/>
                              <w:color w:val="000000"/>
                            </w:rPr>
                          </m:ctrlPr>
                        </m:dPr>
                        <m:e>
                          <m:r>
                            <w:rPr>
                              <w:rFonts w:ascii="Cambria Math" w:eastAsia="Cambria Math" w:hAnsi="Cambria Math"/>
                              <w:color w:val="000000"/>
                            </w:rPr>
                            <m:t>2</m:t>
                          </m:r>
                          <m:sSubSup>
                            <m:sSubSupPr>
                              <m:ctrlPr>
                                <w:rPr>
                                  <w:rFonts w:ascii="Cambria Math" w:eastAsia="Cambria Math" w:hAnsi="Cambria Math"/>
                                  <w:color w:val="000000"/>
                                </w:rPr>
                              </m:ctrlPr>
                            </m:sSubSupPr>
                            <m:e>
                              <m:r>
                                <w:rPr>
                                  <w:rFonts w:ascii="Cambria Math" w:eastAsia="Cambria Math" w:hAnsi="Cambria Math"/>
                                  <w:color w:val="000000"/>
                                </w:rPr>
                                <m:t>σ</m:t>
                              </m:r>
                            </m:e>
                            <m:sub>
                              <m:r>
                                <w:rPr>
                                  <w:rFonts w:ascii="Cambria Math" w:eastAsia="Cambria Math" w:hAnsi="Cambria Math"/>
                                  <w:color w:val="000000"/>
                                </w:rPr>
                                <m:t>i</m:t>
                              </m:r>
                            </m:sub>
                            <m:sup>
                              <m:r>
                                <w:rPr>
                                  <w:rFonts w:ascii="Cambria Math" w:eastAsia="Cambria Math" w:hAnsi="Cambria Math"/>
                                  <w:color w:val="000000"/>
                                </w:rPr>
                                <m:t>2</m:t>
                              </m:r>
                            </m:sup>
                          </m:sSubSup>
                        </m:e>
                      </m:d>
                    </m:den>
                  </m:f>
                </m:e>
              </m:d>
            </m:e>
          </m:nary>
          <m:r>
            <w:rPr>
              <w:rFonts w:ascii="Cambria Math" w:eastAsia="Cambria Math" w:hAnsi="Cambria Math"/>
              <w:color w:val="000000"/>
            </w:rPr>
            <m:t>  </m:t>
          </m:r>
          <m:d>
            <m:dPr>
              <m:ctrlPr>
                <w:rPr>
                  <w:rFonts w:ascii="Cambria Math" w:eastAsia="Cambria Math" w:hAnsi="Cambria Math"/>
                  <w:color w:val="000000"/>
                </w:rPr>
              </m:ctrlPr>
            </m:dPr>
            <m:e>
              <m:r>
                <w:rPr>
                  <w:rFonts w:ascii="Cambria Math" w:eastAsia="Cambria Math" w:hAnsi="Cambria Math"/>
                  <w:color w:val="000000"/>
                </w:rPr>
                <m:t>1</m:t>
              </m:r>
            </m:e>
          </m:d>
        </m:oMath>
      </m:oMathPara>
    </w:p>
    <w:p w14:paraId="00000027" w14:textId="77777777" w:rsidR="001527B5" w:rsidRPr="007F00C7" w:rsidRDefault="00000000">
      <w:pPr>
        <w:pBdr>
          <w:top w:val="nil"/>
          <w:left w:val="nil"/>
          <w:bottom w:val="nil"/>
          <w:right w:val="nil"/>
          <w:between w:val="nil"/>
        </w:pBdr>
        <w:spacing w:after="0" w:line="480" w:lineRule="auto"/>
        <w:rPr>
          <w:color w:val="000000"/>
        </w:rPr>
      </w:pPr>
      <w:r w:rsidRPr="007F00C7">
        <w:rPr>
          <w:color w:val="000000"/>
        </w:rPr>
        <w:t xml:space="preserve">where </w:t>
      </w:r>
      <m:oMath>
        <m:sSub>
          <m:sSubPr>
            <m:ctrlPr>
              <w:rPr>
                <w:rFonts w:ascii="Cambria Math" w:eastAsia="Cambria Math" w:hAnsi="Cambria Math"/>
                <w:color w:val="000000"/>
              </w:rPr>
            </m:ctrlPr>
          </m:sSubPr>
          <m:e>
            <m:r>
              <w:rPr>
                <w:rFonts w:ascii="Cambria Math" w:eastAsia="Cambria Math" w:hAnsi="Cambria Math"/>
                <w:color w:val="000000"/>
              </w:rPr>
              <m:t>A</m:t>
            </m:r>
          </m:e>
          <m:sub>
            <m:r>
              <w:rPr>
                <w:rFonts w:ascii="Cambria Math" w:eastAsia="Cambria Math" w:hAnsi="Cambria Math"/>
                <w:color w:val="000000"/>
              </w:rPr>
              <m:t>i</m:t>
            </m:r>
          </m:sub>
        </m:sSub>
      </m:oMath>
      <w:r w:rsidRPr="007F00C7">
        <w:rPr>
          <w:color w:val="000000"/>
        </w:rPr>
        <w:t xml:space="preserve"> is the amplitude of waveform component </w:t>
      </w:r>
      <m:oMath>
        <m:r>
          <w:rPr>
            <w:rFonts w:ascii="Cambria Math" w:eastAsia="Cambria Math" w:hAnsi="Cambria Math"/>
            <w:color w:val="000000"/>
          </w:rPr>
          <m:t>i</m:t>
        </m:r>
      </m:oMath>
      <w:r w:rsidRPr="007F00C7">
        <w:rPr>
          <w:color w:val="000000"/>
        </w:rPr>
        <w:t xml:space="preserve">, </w:t>
      </w:r>
      <m:oMath>
        <m:r>
          <w:rPr>
            <w:rFonts w:ascii="Cambria Math" w:hAnsi="Cambria Math"/>
          </w:rPr>
          <m:t>μ</m:t>
        </m:r>
      </m:oMath>
      <w:r w:rsidRPr="007F00C7">
        <w:rPr>
          <w:color w:val="000000"/>
        </w:rPr>
        <w:t xml:space="preserve"> is the bin location of </w:t>
      </w:r>
      <m:oMath>
        <m:r>
          <w:rPr>
            <w:rFonts w:ascii="Cambria Math" w:eastAsia="Cambria Math" w:hAnsi="Cambria Math"/>
            <w:color w:val="000000"/>
          </w:rPr>
          <m:t>i</m:t>
        </m:r>
      </m:oMath>
      <w:r w:rsidRPr="007F00C7">
        <w:rPr>
          <w:color w:val="000000"/>
        </w:rPr>
        <w:t xml:space="preserve"> (measured as a point in time, ns), </w:t>
      </w:r>
      <m:oMath>
        <m:r>
          <w:rPr>
            <w:rFonts w:ascii="Cambria Math" w:hAnsi="Cambria Math"/>
          </w:rPr>
          <m:t>σ</m:t>
        </m:r>
      </m:oMath>
      <w:r w:rsidRPr="007F00C7">
        <w:rPr>
          <w:color w:val="000000"/>
        </w:rPr>
        <w:t xml:space="preserve"> is the standard deviation of </w:t>
      </w:r>
      <m:oMath>
        <m:r>
          <w:rPr>
            <w:rFonts w:ascii="Cambria Math" w:eastAsia="Cambria Math" w:hAnsi="Cambria Math"/>
            <w:color w:val="000000"/>
          </w:rPr>
          <m:t>i</m:t>
        </m:r>
      </m:oMath>
      <w:r w:rsidRPr="007F00C7">
        <w:rPr>
          <w:color w:val="000000"/>
        </w:rPr>
        <w:t xml:space="preserve">, and </w:t>
      </w:r>
      <m:oMath>
        <m:r>
          <w:rPr>
            <w:rFonts w:ascii="Cambria Math" w:hAnsi="Cambria Math"/>
          </w:rPr>
          <m:t>λ</m:t>
        </m:r>
      </m:oMath>
      <w:r w:rsidRPr="007F00C7">
        <w:rPr>
          <w:color w:val="000000"/>
        </w:rPr>
        <w:t xml:space="preserve"> is a penalty that minimizes the model residual over a user-specified number of iterations. Fitting was accomplished using the function </w:t>
      </w:r>
      <w:proofErr w:type="spellStart"/>
      <w:r w:rsidRPr="007F00C7">
        <w:rPr>
          <w:i/>
          <w:color w:val="000000"/>
        </w:rPr>
        <w:t>nlsLM</w:t>
      </w:r>
      <w:proofErr w:type="spellEnd"/>
      <w:r w:rsidRPr="007F00C7">
        <w:rPr>
          <w:color w:val="000000"/>
        </w:rPr>
        <w:t xml:space="preserve"> in the R package </w:t>
      </w:r>
      <w:proofErr w:type="spellStart"/>
      <w:r w:rsidRPr="007F00C7">
        <w:rPr>
          <w:i/>
          <w:color w:val="000000"/>
        </w:rPr>
        <w:t>minpack.lm</w:t>
      </w:r>
      <w:proofErr w:type="spellEnd"/>
      <w:r w:rsidRPr="007F00C7">
        <w:rPr>
          <w:color w:val="000000"/>
        </w:rPr>
        <w:t>.</w:t>
      </w:r>
    </w:p>
    <w:p w14:paraId="00000028" w14:textId="4F64CF4B" w:rsidR="001527B5" w:rsidRPr="007F00C7" w:rsidRDefault="00000000">
      <w:pPr>
        <w:pBdr>
          <w:top w:val="nil"/>
          <w:left w:val="nil"/>
          <w:bottom w:val="nil"/>
          <w:right w:val="nil"/>
          <w:between w:val="nil"/>
        </w:pBdr>
        <w:spacing w:after="0" w:line="480" w:lineRule="auto"/>
        <w:ind w:firstLine="720"/>
        <w:jc w:val="both"/>
        <w:rPr>
          <w:color w:val="000000"/>
        </w:rPr>
      </w:pPr>
      <w:r w:rsidRPr="007F00C7">
        <w:rPr>
          <w:color w:val="000000"/>
        </w:rPr>
        <w:t xml:space="preserve">We ran the deconvolution and decomposition procedures on the full set of 1.4 </w:t>
      </w:r>
      <m:oMath>
        <m:r>
          <w:rPr>
            <w:rFonts w:ascii="Cambria Math" w:hAnsi="Cambria Math"/>
          </w:rPr>
          <m:t>×</m:t>
        </m:r>
      </m:oMath>
      <w:r w:rsidRPr="007F00C7">
        <w:rPr>
          <w:color w:val="000000"/>
        </w:rPr>
        <w:t xml:space="preserve"> 10</w:t>
      </w:r>
      <w:r w:rsidRPr="007F00C7">
        <w:rPr>
          <w:color w:val="000000"/>
          <w:vertAlign w:val="superscript"/>
        </w:rPr>
        <w:t>9</w:t>
      </w:r>
      <w:r w:rsidRPr="007F00C7">
        <w:rPr>
          <w:color w:val="000000"/>
        </w:rPr>
        <w:t xml:space="preserve"> waveforms on 256 cores on the University of California, Berkeley’s high-performance computing cluster. From the fitted functions, we extracted characteristic metrics, including pulse location, peak amplitude and width, front slope, and time to median intensity. A negligible fraction of returns (~0.5 </w:t>
      </w:r>
      <w:r w:rsidR="007A5C35">
        <w:rPr>
          <w:color w:val="000000"/>
        </w:rPr>
        <w:t>%</w:t>
      </w:r>
      <w:r w:rsidRPr="007F00C7">
        <w:rPr>
          <w:color w:val="000000"/>
        </w:rPr>
        <w:t>) either had no detectable peaks or represented backscatter records that could not be fit to a Gaussian. Where peaks could not be identified, the waveforms were dropped from the set. Where the returns could not be fit, characteristic metrics were estimated from the deconvolved returns directly, without decomposition.</w:t>
      </w:r>
    </w:p>
    <w:p w14:paraId="00000029" w14:textId="3F2AA215" w:rsidR="001527B5" w:rsidRPr="007F00C7" w:rsidRDefault="00000000">
      <w:pPr>
        <w:pBdr>
          <w:top w:val="nil"/>
          <w:left w:val="nil"/>
          <w:bottom w:val="nil"/>
          <w:right w:val="nil"/>
          <w:between w:val="nil"/>
        </w:pBdr>
        <w:spacing w:after="0" w:line="480" w:lineRule="auto"/>
        <w:ind w:firstLine="720"/>
        <w:jc w:val="both"/>
        <w:rPr>
          <w:color w:val="000000"/>
        </w:rPr>
      </w:pPr>
      <w:r w:rsidRPr="007F00C7">
        <w:rPr>
          <w:color w:val="000000"/>
        </w:rPr>
        <w:t xml:space="preserve">We used the geolocation matrices provided with the NEON data to position the decomposed functions in space and used the R package </w:t>
      </w:r>
      <w:proofErr w:type="spellStart"/>
      <w:r w:rsidRPr="007F00C7">
        <w:rPr>
          <w:i/>
          <w:color w:val="000000"/>
        </w:rPr>
        <w:t>rlas</w:t>
      </w:r>
      <w:proofErr w:type="spellEnd"/>
      <w:r w:rsidRPr="007F00C7">
        <w:rPr>
          <w:color w:val="000000"/>
        </w:rPr>
        <w:t xml:space="preserve"> to discretize this information along with the characteristic metrics (Roussel and </w:t>
      </w:r>
      <w:proofErr w:type="spellStart"/>
      <w:r w:rsidRPr="007F00C7">
        <w:rPr>
          <w:color w:val="000000"/>
        </w:rPr>
        <w:t>Boissieu</w:t>
      </w:r>
      <w:proofErr w:type="spellEnd"/>
      <w:r w:rsidRPr="007F00C7">
        <w:rPr>
          <w:color w:val="000000"/>
        </w:rPr>
        <w:t xml:space="preserve">, 2023). We normalized the discretized points to the Earth surface by differencing their z-values against a digital elevation model (DEM) derived from the discretized point cloud. We then decimated the high-density returns to obtain a dataset of 5.72 </w:t>
      </w:r>
      <m:oMath>
        <m:r>
          <w:rPr>
            <w:rFonts w:ascii="Cambria Math" w:hAnsi="Cambria Math"/>
          </w:rPr>
          <m:t>×</m:t>
        </m:r>
      </m:oMath>
      <w:r w:rsidRPr="007F00C7">
        <w:rPr>
          <w:color w:val="000000"/>
        </w:rPr>
        <w:t xml:space="preserve"> 10</w:t>
      </w:r>
      <w:r w:rsidRPr="007F00C7">
        <w:rPr>
          <w:color w:val="000000"/>
          <w:vertAlign w:val="superscript"/>
        </w:rPr>
        <w:t>9</w:t>
      </w:r>
      <w:r w:rsidRPr="007F00C7">
        <w:rPr>
          <w:color w:val="000000"/>
        </w:rPr>
        <w:t xml:space="preserve"> points with a uniform density of 15.3 points m</w:t>
      </w:r>
      <w:r w:rsidR="00D175AB" w:rsidRPr="007F00C7">
        <w:rPr>
          <w:color w:val="000000"/>
          <w:vertAlign w:val="superscript"/>
        </w:rPr>
        <w:t>–</w:t>
      </w:r>
      <w:r w:rsidRPr="007F00C7">
        <w:rPr>
          <w:color w:val="000000"/>
          <w:vertAlign w:val="superscript"/>
        </w:rPr>
        <w:t>2</w:t>
      </w:r>
      <w:r w:rsidRPr="007F00C7">
        <w:rPr>
          <w:color w:val="000000"/>
        </w:rPr>
        <w:t xml:space="preserve"> across the domain.</w:t>
      </w:r>
    </w:p>
    <w:p w14:paraId="0000002A" w14:textId="77777777" w:rsidR="001527B5" w:rsidRPr="007F00C7" w:rsidRDefault="00000000">
      <w:pPr>
        <w:pStyle w:val="Heading2"/>
        <w:rPr>
          <w:rFonts w:ascii="Times New Roman" w:hAnsi="Times New Roman" w:cs="Times New Roman"/>
        </w:rPr>
      </w:pPr>
      <w:bookmarkStart w:id="6" w:name="bookmark=id.3dy6vkm" w:colFirst="0" w:colLast="0"/>
      <w:bookmarkEnd w:id="6"/>
      <w:r w:rsidRPr="007F00C7">
        <w:rPr>
          <w:rFonts w:ascii="Times New Roman" w:hAnsi="Times New Roman" w:cs="Times New Roman"/>
        </w:rPr>
        <w:lastRenderedPageBreak/>
        <w:t>2.3 Field census</w:t>
      </w:r>
    </w:p>
    <w:p w14:paraId="0000002B" w14:textId="719EFB08" w:rsidR="001527B5" w:rsidRPr="007F00C7" w:rsidRDefault="00000000">
      <w:pPr>
        <w:pBdr>
          <w:top w:val="nil"/>
          <w:left w:val="nil"/>
          <w:bottom w:val="nil"/>
          <w:right w:val="nil"/>
          <w:between w:val="nil"/>
        </w:pBdr>
        <w:spacing w:after="0" w:line="480" w:lineRule="auto"/>
        <w:ind w:firstLine="720"/>
        <w:jc w:val="both"/>
        <w:rPr>
          <w:color w:val="000000"/>
        </w:rPr>
      </w:pPr>
      <w:r w:rsidRPr="007F00C7">
        <w:rPr>
          <w:color w:val="000000"/>
        </w:rPr>
        <w:t xml:space="preserve">Between 2018 and 2022, we established </w:t>
      </w:r>
      <w:r w:rsidR="00245AAC">
        <w:rPr>
          <w:color w:val="000000"/>
        </w:rPr>
        <w:t>twenty-five</w:t>
      </w:r>
      <w:r w:rsidRPr="007F00C7">
        <w:rPr>
          <w:color w:val="000000"/>
        </w:rPr>
        <w:t xml:space="preserve"> </w:t>
      </w:r>
      <w:r w:rsidR="00245AAC" w:rsidRPr="007F00C7">
        <w:rPr>
          <w:color w:val="000000"/>
        </w:rPr>
        <w:t>1600 m</w:t>
      </w:r>
      <w:r w:rsidR="00245AAC" w:rsidRPr="007F00C7">
        <w:rPr>
          <w:color w:val="000000"/>
          <w:vertAlign w:val="superscript"/>
        </w:rPr>
        <w:t>2</w:t>
      </w:r>
      <w:r w:rsidR="00245AAC" w:rsidRPr="007F00C7">
        <w:rPr>
          <w:color w:val="000000"/>
        </w:rPr>
        <w:t xml:space="preserve"> </w:t>
      </w:r>
      <w:r w:rsidRPr="007F00C7">
        <w:rPr>
          <w:color w:val="000000"/>
        </w:rPr>
        <w:t xml:space="preserve">conifer forest demography plots in the East River watershed and surrounding drainages, stratified along six topographic gradients (Table </w:t>
      </w:r>
      <w:r w:rsidR="00245AAC">
        <w:rPr>
          <w:color w:val="000000"/>
        </w:rPr>
        <w:t>A</w:t>
      </w:r>
      <w:r w:rsidR="00380BCF">
        <w:rPr>
          <w:color w:val="000000"/>
        </w:rPr>
        <w:t>.</w:t>
      </w:r>
      <w:r w:rsidRPr="007F00C7">
        <w:rPr>
          <w:color w:val="000000"/>
        </w:rPr>
        <w:t xml:space="preserve">1; Fig. </w:t>
      </w:r>
      <w:r w:rsidR="00245AAC">
        <w:rPr>
          <w:color w:val="000000"/>
        </w:rPr>
        <w:t>A</w:t>
      </w:r>
      <w:r w:rsidR="00380BCF">
        <w:rPr>
          <w:color w:val="000000"/>
        </w:rPr>
        <w:t>.</w:t>
      </w:r>
      <w:r w:rsidRPr="007F00C7">
        <w:rPr>
          <w:color w:val="000000"/>
        </w:rPr>
        <w:t xml:space="preserve">1). Each plot was </w:t>
      </w:r>
      <w:r w:rsidR="005C302A">
        <w:rPr>
          <w:color w:val="000000"/>
        </w:rPr>
        <w:t>installed</w:t>
      </w:r>
      <w:r w:rsidRPr="007F00C7">
        <w:rPr>
          <w:color w:val="000000"/>
        </w:rPr>
        <w:t xml:space="preserve"> in contiguous forest at least 100 m from edges and major compositional transitions. To mitigate unobserved management and disturbance effects, we selected stands with no evidence of recent harvest or major disturbance based on (a) visual inspection for cutting and (b) stability of the Landsat Normalized Difference Vegetation Index (NDVI) record (1980–2018). We used a survey-grade GNSS receiver (Trimble Geo 7X, Trimble, Inc.) to </w:t>
      </w:r>
      <w:proofErr w:type="spellStart"/>
      <w:r w:rsidRPr="007F00C7">
        <w:rPr>
          <w:color w:val="000000"/>
        </w:rPr>
        <w:t>georeference</w:t>
      </w:r>
      <w:proofErr w:type="spellEnd"/>
      <w:r w:rsidRPr="007F00C7">
        <w:rPr>
          <w:color w:val="000000"/>
        </w:rPr>
        <w:t xml:space="preserve"> all plot locations </w:t>
      </w:r>
      <w:r w:rsidRPr="007F00C7">
        <w:rPr>
          <w:i/>
          <w:color w:val="000000"/>
        </w:rPr>
        <w:t>in situ</w:t>
      </w:r>
      <w:r w:rsidRPr="007F00C7">
        <w:rPr>
          <w:color w:val="000000"/>
        </w:rPr>
        <w:t xml:space="preserve">. Estimated planimetric accuracy of plot corner locations was </w:t>
      </w:r>
      <m:oMath>
        <m:r>
          <w:rPr>
            <w:rFonts w:ascii="Cambria Math" w:hAnsi="Cambria Math"/>
          </w:rPr>
          <m:t>±</m:t>
        </m:r>
      </m:oMath>
      <w:r w:rsidRPr="007F00C7">
        <w:rPr>
          <w:color w:val="000000"/>
        </w:rPr>
        <w:t xml:space="preserve"> 0.3 m.</w:t>
      </w:r>
    </w:p>
    <w:p w14:paraId="0000002C" w14:textId="729B196B" w:rsidR="001527B5" w:rsidRPr="007F00C7" w:rsidRDefault="00000000">
      <w:pPr>
        <w:pBdr>
          <w:top w:val="nil"/>
          <w:left w:val="nil"/>
          <w:bottom w:val="nil"/>
          <w:right w:val="nil"/>
          <w:between w:val="nil"/>
        </w:pBdr>
        <w:spacing w:after="0" w:line="480" w:lineRule="auto"/>
        <w:ind w:firstLine="720"/>
        <w:jc w:val="both"/>
        <w:rPr>
          <w:color w:val="000000"/>
        </w:rPr>
      </w:pPr>
      <w:r w:rsidRPr="007F00C7">
        <w:rPr>
          <w:color w:val="000000"/>
        </w:rPr>
        <w:t xml:space="preserve">We conducted a field census in the 25 plots (Table </w:t>
      </w:r>
      <w:r w:rsidR="00380BCF">
        <w:rPr>
          <w:color w:val="000000"/>
        </w:rPr>
        <w:t>A.</w:t>
      </w:r>
      <w:r w:rsidRPr="007F00C7">
        <w:rPr>
          <w:color w:val="000000"/>
        </w:rPr>
        <w:t xml:space="preserve">2), labeling all trees </w:t>
      </w:r>
      <m:oMath>
        <m:r>
          <w:rPr>
            <w:rFonts w:ascii="Cambria Math" w:hAnsi="Cambria Math"/>
          </w:rPr>
          <m:t>≥</m:t>
        </m:r>
      </m:oMath>
      <w:r w:rsidRPr="007F00C7">
        <w:rPr>
          <w:color w:val="000000"/>
        </w:rPr>
        <w:t xml:space="preserve"> 1.0 cm diameter at breast height (DBH, measured at 1.3 m above ground) with a permanent aluminum tag and identifying tagged trees to species. We then measured DBH using a standard metric diameter tape (for stems </w:t>
      </w:r>
      <m:oMath>
        <m:r>
          <w:rPr>
            <w:rFonts w:ascii="Cambria Math" w:eastAsia="Cambria Math" w:hAnsi="Cambria Math"/>
            <w:color w:val="000000"/>
          </w:rPr>
          <m:t>&gt;</m:t>
        </m:r>
      </m:oMath>
      <w:r w:rsidRPr="007F00C7">
        <w:rPr>
          <w:color w:val="000000"/>
        </w:rPr>
        <w:t xml:space="preserve"> 7.0 cm DBH) or calipers (</w:t>
      </w:r>
      <m:oMath>
        <m:r>
          <w:rPr>
            <w:rFonts w:ascii="Cambria Math" w:hAnsi="Cambria Math"/>
          </w:rPr>
          <m:t>≤</m:t>
        </m:r>
      </m:oMath>
      <w:r w:rsidRPr="007F00C7">
        <w:rPr>
          <w:color w:val="000000"/>
        </w:rPr>
        <w:t xml:space="preserve"> 7.0 cm) and stem heights with a LaserPro II </w:t>
      </w:r>
      <w:r w:rsidRPr="007F00C7">
        <w:t xml:space="preserve">(Nikon Corp.) </w:t>
      </w:r>
      <w:r w:rsidRPr="007F00C7">
        <w:rPr>
          <w:color w:val="000000"/>
        </w:rPr>
        <w:t xml:space="preserve">laser hypsometer (for stems </w:t>
      </w:r>
      <m:oMath>
        <m:r>
          <w:rPr>
            <w:rFonts w:ascii="Cambria Math" w:eastAsia="Cambria Math" w:hAnsi="Cambria Math"/>
            <w:color w:val="000000"/>
          </w:rPr>
          <m:t>&gt;</m:t>
        </m:r>
      </m:oMath>
      <w:r w:rsidRPr="007F00C7">
        <w:rPr>
          <w:color w:val="000000"/>
        </w:rPr>
        <w:t xml:space="preserve"> 5 m in height) or a rigid metric tape measure (</w:t>
      </w:r>
      <m:oMath>
        <m:r>
          <w:rPr>
            <w:rFonts w:ascii="Cambria Math" w:hAnsi="Cambria Math"/>
          </w:rPr>
          <m:t>≤</m:t>
        </m:r>
      </m:oMath>
      <w:r w:rsidRPr="007F00C7">
        <w:rPr>
          <w:color w:val="000000"/>
        </w:rPr>
        <w:t xml:space="preserve"> 5.0 m). To maximize precision, we repeated hypsometer measurements on each stem until measurements converged within 0.5 m. Expected vertical accuracy on hypsometer measurements was </w:t>
      </w:r>
      <m:oMath>
        <m:r>
          <w:rPr>
            <w:rFonts w:ascii="Cambria Math" w:hAnsi="Cambria Math"/>
          </w:rPr>
          <m:t>±</m:t>
        </m:r>
      </m:oMath>
      <w:r w:rsidRPr="007F00C7">
        <w:rPr>
          <w:color w:val="000000"/>
        </w:rPr>
        <w:t xml:space="preserve"> 0.75 m. We geolocated stems using the GNSS receiver or by measuring the direction and distance from a previously geolocated reference tree with a digital compass and rigid metric tape. For geotagged trees, mean planimetric accuracy was 1.01 m (s.d = 0.70 m). Seventeen of the 25 plots lay within the overflight footprint of the 2018 NEON AOP acquisition (Chadwick et al., 2020; </w:t>
      </w:r>
      <w:proofErr w:type="spellStart"/>
      <w:r w:rsidRPr="007F00C7">
        <w:rPr>
          <w:color w:val="000000"/>
        </w:rPr>
        <w:t>Goulden</w:t>
      </w:r>
      <w:proofErr w:type="spellEnd"/>
      <w:r w:rsidRPr="007F00C7">
        <w:rPr>
          <w:color w:val="000000"/>
        </w:rPr>
        <w:t xml:space="preserve"> et al., 2020; </w:t>
      </w:r>
      <w:proofErr w:type="spellStart"/>
      <w:r w:rsidRPr="007F00C7">
        <w:rPr>
          <w:color w:val="000000"/>
        </w:rPr>
        <w:t>Goulden</w:t>
      </w:r>
      <w:proofErr w:type="spellEnd"/>
      <w:r w:rsidRPr="007F00C7">
        <w:rPr>
          <w:color w:val="000000"/>
        </w:rPr>
        <w:t xml:space="preserve"> and </w:t>
      </w:r>
      <w:proofErr w:type="spellStart"/>
      <w:r w:rsidRPr="007F00C7">
        <w:rPr>
          <w:color w:val="000000"/>
        </w:rPr>
        <w:t>Musinsky</w:t>
      </w:r>
      <w:proofErr w:type="spellEnd"/>
      <w:r w:rsidRPr="007F00C7">
        <w:rPr>
          <w:color w:val="000000"/>
        </w:rPr>
        <w:t>, 2020). These contained 5828 observed trees, of which 4355 were living at the time of inventory.</w:t>
      </w:r>
    </w:p>
    <w:p w14:paraId="0000002D" w14:textId="77777777" w:rsidR="001527B5" w:rsidRPr="007F00C7" w:rsidRDefault="00000000">
      <w:pPr>
        <w:pStyle w:val="Heading2"/>
        <w:rPr>
          <w:rFonts w:ascii="Times New Roman" w:hAnsi="Times New Roman" w:cs="Times New Roman"/>
        </w:rPr>
      </w:pPr>
      <w:bookmarkStart w:id="7" w:name="bookmark=id.1t3h5sf" w:colFirst="0" w:colLast="0"/>
      <w:bookmarkEnd w:id="7"/>
      <w:r w:rsidRPr="007F00C7">
        <w:rPr>
          <w:rFonts w:ascii="Times New Roman" w:hAnsi="Times New Roman" w:cs="Times New Roman"/>
        </w:rPr>
        <w:lastRenderedPageBreak/>
        <w:t xml:space="preserve">2.4. Tree crowns, species composition, and stand </w:t>
      </w:r>
      <w:proofErr w:type="gramStart"/>
      <w:r w:rsidRPr="007F00C7">
        <w:rPr>
          <w:rFonts w:ascii="Times New Roman" w:hAnsi="Times New Roman" w:cs="Times New Roman"/>
        </w:rPr>
        <w:t>structure</w:t>
      </w:r>
      <w:proofErr w:type="gramEnd"/>
    </w:p>
    <w:p w14:paraId="0000002E" w14:textId="77777777" w:rsidR="001527B5" w:rsidRPr="007F00C7" w:rsidRDefault="00000000">
      <w:pPr>
        <w:pStyle w:val="Heading3"/>
        <w:rPr>
          <w:rFonts w:ascii="Times New Roman" w:hAnsi="Times New Roman" w:cs="Times New Roman"/>
        </w:rPr>
      </w:pPr>
      <w:bookmarkStart w:id="8" w:name="bookmark=id.4d34og8" w:colFirst="0" w:colLast="0"/>
      <w:bookmarkEnd w:id="8"/>
      <w:r w:rsidRPr="007F00C7">
        <w:rPr>
          <w:rFonts w:ascii="Times New Roman" w:hAnsi="Times New Roman" w:cs="Times New Roman"/>
        </w:rPr>
        <w:t>2.4.1 Tree crown detection</w:t>
      </w:r>
    </w:p>
    <w:p w14:paraId="0000002F" w14:textId="5B01DA13" w:rsidR="001527B5" w:rsidRPr="007F00C7" w:rsidRDefault="00000000">
      <w:pPr>
        <w:pBdr>
          <w:top w:val="nil"/>
          <w:left w:val="nil"/>
          <w:bottom w:val="nil"/>
          <w:right w:val="nil"/>
          <w:between w:val="nil"/>
        </w:pBdr>
        <w:spacing w:after="0" w:line="480" w:lineRule="auto"/>
        <w:ind w:firstLine="720"/>
        <w:jc w:val="both"/>
        <w:rPr>
          <w:color w:val="000000"/>
        </w:rPr>
      </w:pPr>
      <w:r w:rsidRPr="007F00C7">
        <w:rPr>
          <w:color w:val="000000"/>
        </w:rPr>
        <w:t xml:space="preserve">We followed the tree-centric schema in </w:t>
      </w:r>
      <w:proofErr w:type="spellStart"/>
      <w:r w:rsidRPr="007F00C7">
        <w:rPr>
          <w:color w:val="000000"/>
        </w:rPr>
        <w:t>Dalponte</w:t>
      </w:r>
      <w:proofErr w:type="spellEnd"/>
      <w:r w:rsidRPr="007F00C7">
        <w:rPr>
          <w:color w:val="000000"/>
        </w:rPr>
        <w:t xml:space="preserve"> et al. (2019) to generate an individual tree crown (ITC) map and gridded estimates of conifer forest structure and composition across the watershed. The ITC map comprised point objects describing the position, height, and stem diameter of all trees </w:t>
      </w:r>
      <m:oMath>
        <m:r>
          <w:rPr>
            <w:rFonts w:ascii="Cambria Math" w:hAnsi="Cambria Math"/>
          </w:rPr>
          <m:t>≥</m:t>
        </m:r>
      </m:oMath>
      <w:r w:rsidRPr="007F00C7">
        <w:rPr>
          <w:color w:val="000000"/>
        </w:rPr>
        <w:t xml:space="preserve"> 1.3 m height in conifer stands. The gridded data comprised continuous estimates of conifer forest structure metrics at the 100m grid scale. To generate these products, we developed an automated procedure to train and test eight individual tree detection (ITD) algorithms. The procedure iterated through many parameter permutations for each algorithm, </w:t>
      </w:r>
      <w:r w:rsidR="00135100" w:rsidRPr="007F00C7">
        <w:rPr>
          <w:color w:val="000000"/>
        </w:rPr>
        <w:t>measuring</w:t>
      </w:r>
      <w:r w:rsidRPr="007F00C7">
        <w:rPr>
          <w:color w:val="000000"/>
        </w:rPr>
        <w:t xml:space="preserve"> performance </w:t>
      </w:r>
      <w:r w:rsidR="00135100" w:rsidRPr="007F00C7">
        <w:rPr>
          <w:color w:val="000000"/>
        </w:rPr>
        <w:t xml:space="preserve">against field inventory data </w:t>
      </w:r>
      <w:r w:rsidRPr="007F00C7">
        <w:rPr>
          <w:color w:val="000000"/>
        </w:rPr>
        <w:t>at each iteration</w:t>
      </w:r>
      <w:r w:rsidR="00135100" w:rsidRPr="007F00C7">
        <w:rPr>
          <w:color w:val="000000"/>
        </w:rPr>
        <w:t xml:space="preserve">. </w:t>
      </w:r>
      <w:r w:rsidRPr="007F00C7">
        <w:rPr>
          <w:color w:val="000000"/>
        </w:rPr>
        <w:t xml:space="preserve">We then selected the </w:t>
      </w:r>
      <w:r w:rsidR="002032FA" w:rsidRPr="007F00C7">
        <w:rPr>
          <w:color w:val="000000"/>
        </w:rPr>
        <w:t>best-performing</w:t>
      </w:r>
      <w:r w:rsidRPr="007F00C7">
        <w:rPr>
          <w:color w:val="000000"/>
        </w:rPr>
        <w:t xml:space="preserve"> algorithm and parameter set to apply to the watershed’s remaining conifer forest area.</w:t>
      </w:r>
    </w:p>
    <w:p w14:paraId="00000030" w14:textId="29D57A68" w:rsidR="001527B5" w:rsidRPr="007F00C7" w:rsidRDefault="00000000">
      <w:pPr>
        <w:pBdr>
          <w:top w:val="nil"/>
          <w:left w:val="nil"/>
          <w:bottom w:val="nil"/>
          <w:right w:val="nil"/>
          <w:between w:val="nil"/>
        </w:pBdr>
        <w:spacing w:after="0" w:line="480" w:lineRule="auto"/>
        <w:ind w:firstLine="720"/>
        <w:jc w:val="both"/>
        <w:rPr>
          <w:color w:val="000000"/>
        </w:rPr>
      </w:pPr>
      <w:r w:rsidRPr="007F00C7">
        <w:rPr>
          <w:color w:val="000000"/>
        </w:rPr>
        <w:t>To implement this schema, we first extracted the discretized LiDAR data within a 5 m buffer around the boundaries of each field plot.</w:t>
      </w:r>
      <w:r w:rsidRPr="007F00C7">
        <w:rPr>
          <w:color w:val="000000"/>
          <w:vertAlign w:val="superscript"/>
        </w:rPr>
        <w:footnoteReference w:id="1"/>
      </w:r>
      <w:r w:rsidRPr="007F00C7">
        <w:rPr>
          <w:color w:val="000000"/>
        </w:rPr>
        <w:t xml:space="preserve"> We then attempted to detect tree crown objects from the discretized data using eight algorithm implementations from the R packages </w:t>
      </w:r>
      <w:proofErr w:type="spellStart"/>
      <w:r w:rsidRPr="007F00C7">
        <w:rPr>
          <w:i/>
          <w:color w:val="000000"/>
        </w:rPr>
        <w:t>lidR</w:t>
      </w:r>
      <w:proofErr w:type="spellEnd"/>
      <w:r w:rsidRPr="007F00C7">
        <w:rPr>
          <w:i/>
          <w:color w:val="000000"/>
        </w:rPr>
        <w:t xml:space="preserve"> </w:t>
      </w:r>
      <w:r w:rsidRPr="007F00C7">
        <w:rPr>
          <w:color w:val="000000"/>
        </w:rPr>
        <w:t xml:space="preserve">and </w:t>
      </w:r>
      <w:proofErr w:type="spellStart"/>
      <w:r w:rsidRPr="007F00C7">
        <w:rPr>
          <w:i/>
          <w:color w:val="000000"/>
        </w:rPr>
        <w:t>lidRplugins</w:t>
      </w:r>
      <w:proofErr w:type="spellEnd"/>
      <w:r w:rsidRPr="007F00C7">
        <w:rPr>
          <w:color w:val="000000"/>
        </w:rPr>
        <w:t xml:space="preserve"> (Roussel et al., 2021; Roussel and </w:t>
      </w:r>
      <w:proofErr w:type="spellStart"/>
      <w:r w:rsidRPr="007F00C7">
        <w:rPr>
          <w:color w:val="000000"/>
        </w:rPr>
        <w:t>Auty</w:t>
      </w:r>
      <w:proofErr w:type="spellEnd"/>
      <w:r w:rsidRPr="007F00C7">
        <w:rPr>
          <w:color w:val="000000"/>
        </w:rPr>
        <w:t xml:space="preserve"> 2023; Roussel 2023). We forced each algorithm </w:t>
      </w:r>
      <m:oMath>
        <m:sSub>
          <m:sSubPr>
            <m:ctrlPr>
              <w:rPr>
                <w:rFonts w:ascii="Cambria Math" w:eastAsia="Cambria Math" w:hAnsi="Cambria Math"/>
                <w:color w:val="000000"/>
              </w:rPr>
            </m:ctrlPr>
          </m:sSubPr>
          <m:e>
            <m:r>
              <w:rPr>
                <w:rFonts w:ascii="Cambria Math" w:eastAsia="Cambria Math" w:hAnsi="Cambria Math"/>
                <w:color w:val="000000"/>
              </w:rPr>
              <m:t>A</m:t>
            </m:r>
          </m:e>
          <m:sub>
            <m:r>
              <w:rPr>
                <w:rFonts w:ascii="Cambria Math" w:eastAsia="Cambria Math" w:hAnsi="Cambria Math"/>
                <w:color w:val="000000"/>
              </w:rPr>
              <m:t>i</m:t>
            </m:r>
          </m:sub>
        </m:sSub>
      </m:oMath>
      <w:r w:rsidRPr="007F00C7">
        <w:rPr>
          <w:color w:val="000000"/>
        </w:rPr>
        <w:t xml:space="preserve"> with parameter set </w:t>
      </w:r>
      <m:oMath>
        <m:sSub>
          <m:sSubPr>
            <m:ctrlPr>
              <w:rPr>
                <w:rFonts w:ascii="Cambria Math" w:eastAsia="Cambria Math" w:hAnsi="Cambria Math"/>
                <w:color w:val="000000"/>
              </w:rPr>
            </m:ctrlPr>
          </m:sSubPr>
          <m:e>
            <m:r>
              <w:rPr>
                <w:rFonts w:ascii="Cambria Math" w:hAnsi="Cambria Math"/>
              </w:rPr>
              <m:t>λ</m:t>
            </m:r>
          </m:e>
          <m:sub>
            <m:r>
              <w:rPr>
                <w:rFonts w:ascii="Cambria Math" w:eastAsia="Cambria Math" w:hAnsi="Cambria Math"/>
                <w:color w:val="000000"/>
              </w:rPr>
              <m:t>j,k:l</m:t>
            </m:r>
          </m:sub>
        </m:sSub>
      </m:oMath>
      <w:r w:rsidRPr="007F00C7">
        <w:rPr>
          <w:color w:val="000000"/>
        </w:rPr>
        <w:t xml:space="preserve">, where </w:t>
      </w:r>
      <m:oMath>
        <m:sSub>
          <m:sSubPr>
            <m:ctrlPr>
              <w:rPr>
                <w:rFonts w:ascii="Cambria Math" w:eastAsia="Cambria Math" w:hAnsi="Cambria Math"/>
                <w:color w:val="000000"/>
              </w:rPr>
            </m:ctrlPr>
          </m:sSubPr>
          <m:e>
            <m:r>
              <w:rPr>
                <w:rFonts w:ascii="Cambria Math" w:hAnsi="Cambria Math"/>
              </w:rPr>
              <m:t>λ</m:t>
            </m:r>
          </m:e>
          <m:sub>
            <m:r>
              <w:rPr>
                <w:rFonts w:ascii="Cambria Math" w:eastAsia="Cambria Math" w:hAnsi="Cambria Math"/>
                <w:color w:val="000000"/>
              </w:rPr>
              <m:t>j</m:t>
            </m:r>
          </m:sub>
        </m:sSub>
      </m:oMath>
      <w:r w:rsidRPr="007F00C7">
        <w:rPr>
          <w:color w:val="000000"/>
        </w:rPr>
        <w:t xml:space="preserve"> is </w:t>
      </w:r>
      <w:r w:rsidR="00ED41FC" w:rsidRPr="007F00C7">
        <w:rPr>
          <w:color w:val="000000"/>
        </w:rPr>
        <w:t>a</w:t>
      </w:r>
      <w:r w:rsidRPr="007F00C7">
        <w:rPr>
          <w:color w:val="000000"/>
        </w:rPr>
        <w:t xml:space="preserve"> parameter required for the algorithm to proceed, and </w:t>
      </w:r>
      <m:oMath>
        <m:r>
          <w:rPr>
            <w:rFonts w:ascii="Cambria Math" w:eastAsia="Cambria Math" w:hAnsi="Cambria Math"/>
            <w:color w:val="000000"/>
          </w:rPr>
          <m:t>k:l</m:t>
        </m:r>
      </m:oMath>
      <w:r w:rsidRPr="007F00C7">
        <w:rPr>
          <w:color w:val="000000"/>
        </w:rPr>
        <w:t xml:space="preserve"> is a vector of </w:t>
      </w:r>
      <w:r w:rsidR="00ED41FC" w:rsidRPr="007F00C7">
        <w:rPr>
          <w:color w:val="000000"/>
        </w:rPr>
        <w:t xml:space="preserve">user-specified </w:t>
      </w:r>
      <w:r w:rsidRPr="007F00C7">
        <w:rPr>
          <w:color w:val="000000"/>
        </w:rPr>
        <w:t xml:space="preserve">values on that parameter (Table </w:t>
      </w:r>
      <w:r w:rsidR="00380BCF">
        <w:rPr>
          <w:color w:val="000000"/>
        </w:rPr>
        <w:t>A.</w:t>
      </w:r>
      <w:r w:rsidRPr="007F00C7">
        <w:rPr>
          <w:color w:val="000000"/>
        </w:rPr>
        <w:t xml:space="preserve">3). For each iteration </w:t>
      </w:r>
      <m:oMath>
        <m:sSub>
          <m:sSubPr>
            <m:ctrlPr>
              <w:rPr>
                <w:rFonts w:ascii="Cambria Math" w:eastAsia="Cambria Math" w:hAnsi="Cambria Math"/>
                <w:color w:val="000000"/>
              </w:rPr>
            </m:ctrlPr>
          </m:sSubPr>
          <m:e>
            <m:r>
              <w:rPr>
                <w:rFonts w:ascii="Cambria Math" w:eastAsia="Cambria Math" w:hAnsi="Cambria Math"/>
                <w:color w:val="000000"/>
              </w:rPr>
              <m:t>A</m:t>
            </m:r>
          </m:e>
          <m:sub>
            <m:r>
              <w:rPr>
                <w:rFonts w:ascii="Cambria Math" w:eastAsia="Cambria Math" w:hAnsi="Cambria Math"/>
                <w:color w:val="000000"/>
              </w:rPr>
              <m:t>i</m:t>
            </m:r>
          </m:sub>
        </m:sSub>
        <m:r>
          <w:rPr>
            <w:rFonts w:ascii="Cambria Math" w:eastAsia="Cambria Math" w:hAnsi="Cambria Math"/>
            <w:color w:val="000000"/>
          </w:rPr>
          <m:t>, </m:t>
        </m:r>
        <m:sSub>
          <m:sSubPr>
            <m:ctrlPr>
              <w:rPr>
                <w:rFonts w:ascii="Cambria Math" w:eastAsia="Cambria Math" w:hAnsi="Cambria Math"/>
                <w:color w:val="000000"/>
              </w:rPr>
            </m:ctrlPr>
          </m:sSubPr>
          <m:e>
            <m:r>
              <w:rPr>
                <w:rFonts w:ascii="Cambria Math" w:eastAsia="Cambria Math" w:hAnsi="Cambria Math"/>
                <w:color w:val="000000"/>
              </w:rPr>
              <m:t>λ</m:t>
            </m:r>
          </m:e>
          <m:sub>
            <m:r>
              <w:rPr>
                <w:rFonts w:ascii="Cambria Math" w:eastAsia="Cambria Math" w:hAnsi="Cambria Math"/>
                <w:color w:val="000000"/>
              </w:rPr>
              <m:t>j,k:l</m:t>
            </m:r>
          </m:sub>
        </m:sSub>
      </m:oMath>
      <w:r w:rsidRPr="007F00C7">
        <w:rPr>
          <w:color w:val="000000"/>
        </w:rPr>
        <w:t xml:space="preserve">, we applied the automated matching procedure in Eysn et al. (2015) and Pang et al. (2021) to link detection results to reference observations from field inventory. This provided an objective function against which to evaluate the performance of each algorithm-parameter </w:t>
      </w:r>
      <w:r w:rsidRPr="007F00C7">
        <w:rPr>
          <w:color w:val="000000"/>
        </w:rPr>
        <w:lastRenderedPageBreak/>
        <w:t xml:space="preserve">permutation. We opted for automated matching because (1) our computational scale—up to 2800 runs per algorithm per </w:t>
      </w:r>
      <w:r w:rsidR="00ED41FC" w:rsidRPr="007F00C7">
        <w:rPr>
          <w:color w:val="000000"/>
        </w:rPr>
        <w:t>plot</w:t>
      </w:r>
      <w:r w:rsidRPr="007F00C7">
        <w:rPr>
          <w:color w:val="000000"/>
        </w:rPr>
        <w:t>—made manual evaluation infeasible, and (2) it enabled us to enforce clear, objective, reproducible rules for algorithm selection.</w:t>
      </w:r>
    </w:p>
    <w:p w14:paraId="00000031" w14:textId="27C7F1D6" w:rsidR="001527B5" w:rsidRPr="007F00C7" w:rsidRDefault="00000000">
      <w:pPr>
        <w:pBdr>
          <w:top w:val="nil"/>
          <w:left w:val="nil"/>
          <w:bottom w:val="nil"/>
          <w:right w:val="nil"/>
          <w:between w:val="nil"/>
        </w:pBdr>
        <w:spacing w:after="0" w:line="480" w:lineRule="auto"/>
        <w:ind w:firstLine="720"/>
        <w:jc w:val="both"/>
        <w:rPr>
          <w:color w:val="000000"/>
        </w:rPr>
      </w:pPr>
      <w:r w:rsidRPr="007F00C7">
        <w:rPr>
          <w:color w:val="000000"/>
        </w:rPr>
        <w:t xml:space="preserve">The matching procedure began by selecting the tallest detected tree (“target”) and searching for candidate matches among reference trees within specified Euclidean distance limits (Table </w:t>
      </w:r>
      <w:r w:rsidR="00380BCF">
        <w:rPr>
          <w:color w:val="000000"/>
        </w:rPr>
        <w:t>A.</w:t>
      </w:r>
      <w:r w:rsidRPr="007F00C7">
        <w:rPr>
          <w:color w:val="000000"/>
        </w:rPr>
        <w:t>4). The reference candidate with the least ∆XY was chosen as a tentative match to the target. The candidates were then queried a second time. If a candidate with greater ∆XY proved closer in height to the target, and its ∆XY was at most 2.5 m more than the ∆XY of the tentative match, it was selected as the match. However, since an optimal match also depends on other nearby</w:t>
      </w:r>
      <w:r w:rsidRPr="007F00C7">
        <w:rPr>
          <w:rFonts w:eastAsia="Gungsuh"/>
          <w:color w:val="000000"/>
        </w:rPr>
        <w:t xml:space="preserve"> </w:t>
      </w:r>
      <w:r w:rsidRPr="007F00C7">
        <w:rPr>
          <w:i/>
          <w:color w:val="000000"/>
        </w:rPr>
        <w:t>detected</w:t>
      </w:r>
      <w:r w:rsidRPr="007F00C7">
        <w:rPr>
          <w:color w:val="000000"/>
        </w:rPr>
        <w:t xml:space="preserve"> trees, the target was then compared against other detected neighbors. If another detected tree was closer in horizontal and vertical distance to the matched reference, the pairing was discarded. This process was repeated on all remaining detected trees in descending order of height, until all reference trees had been evaluated. Matches were then removed from the set, and the process was repeated until no further matches could be found under the search criteria.</w:t>
      </w:r>
    </w:p>
    <w:p w14:paraId="00000032" w14:textId="77777777" w:rsidR="001527B5" w:rsidRPr="007F00C7" w:rsidRDefault="00000000">
      <w:pPr>
        <w:pBdr>
          <w:top w:val="nil"/>
          <w:left w:val="nil"/>
          <w:bottom w:val="nil"/>
          <w:right w:val="nil"/>
          <w:between w:val="nil"/>
        </w:pBdr>
        <w:spacing w:after="0" w:line="480" w:lineRule="auto"/>
        <w:ind w:firstLine="720"/>
        <w:jc w:val="both"/>
        <w:rPr>
          <w:color w:val="000000"/>
        </w:rPr>
      </w:pPr>
      <w:r w:rsidRPr="007F00C7">
        <w:rPr>
          <w:color w:val="000000"/>
        </w:rPr>
        <w:t xml:space="preserve">For each run of </w:t>
      </w:r>
      <m:oMath>
        <m:sSub>
          <m:sSubPr>
            <m:ctrlPr>
              <w:rPr>
                <w:rFonts w:ascii="Cambria Math" w:eastAsia="Cambria Math" w:hAnsi="Cambria Math"/>
                <w:color w:val="000000"/>
              </w:rPr>
            </m:ctrlPr>
          </m:sSubPr>
          <m:e>
            <m:r>
              <w:rPr>
                <w:rFonts w:ascii="Cambria Math" w:hAnsi="Cambria Math"/>
              </w:rPr>
              <m:t>λ</m:t>
            </m:r>
          </m:e>
          <m:sub>
            <m:r>
              <w:rPr>
                <w:rFonts w:ascii="Cambria Math" w:eastAsia="Cambria Math" w:hAnsi="Cambria Math"/>
                <w:color w:val="000000"/>
              </w:rPr>
              <m:t>i,j:k</m:t>
            </m:r>
          </m:sub>
        </m:sSub>
      </m:oMath>
      <w:r w:rsidRPr="007F00C7">
        <w:rPr>
          <w:color w:val="000000"/>
        </w:rPr>
        <w:t xml:space="preserve"> on </w:t>
      </w:r>
      <m:oMath>
        <m:sSub>
          <m:sSubPr>
            <m:ctrlPr>
              <w:rPr>
                <w:rFonts w:ascii="Cambria Math" w:eastAsia="Cambria Math" w:hAnsi="Cambria Math"/>
                <w:color w:val="000000"/>
              </w:rPr>
            </m:ctrlPr>
          </m:sSubPr>
          <m:e>
            <m:r>
              <w:rPr>
                <w:rFonts w:ascii="Cambria Math" w:eastAsia="Cambria Math" w:hAnsi="Cambria Math"/>
                <w:color w:val="000000"/>
              </w:rPr>
              <m:t>A</m:t>
            </m:r>
          </m:e>
          <m:sub>
            <m:r>
              <w:rPr>
                <w:rFonts w:ascii="Cambria Math" w:eastAsia="Cambria Math" w:hAnsi="Cambria Math"/>
                <w:color w:val="000000"/>
              </w:rPr>
              <m:t>i</m:t>
            </m:r>
          </m:sub>
        </m:sSub>
      </m:oMath>
      <w:r w:rsidRPr="007F00C7">
        <w:rPr>
          <w:rFonts w:eastAsia="Cambria Math"/>
          <w:color w:val="000000"/>
        </w:rPr>
        <w:t>,</w:t>
      </w:r>
      <w:r w:rsidRPr="007F00C7">
        <w:rPr>
          <w:color w:val="000000"/>
        </w:rPr>
        <w:t xml:space="preserve"> we tallied the number of detected trees, true positives (TP, or successful matches), false positives (FP, or commission errors), and false negatives (FN, or omission errors). We used these values to compute root mean square (RMS) performance statistics across the 17 plots (Table 1). We then selected the algorithm and parameter permutation with the maximum RMS </w:t>
      </w:r>
      <w:r w:rsidRPr="007F00C7">
        <w:rPr>
          <w:i/>
          <w:color w:val="000000"/>
        </w:rPr>
        <w:t>F1</w:t>
      </w:r>
      <w:r w:rsidRPr="007F00C7">
        <w:rPr>
          <w:color w:val="000000"/>
        </w:rPr>
        <w:t xml:space="preserve"> score across all </w:t>
      </w:r>
      <m:oMath>
        <m:sSub>
          <m:sSubPr>
            <m:ctrlPr>
              <w:rPr>
                <w:rFonts w:ascii="Cambria Math" w:eastAsia="Cambria Math" w:hAnsi="Cambria Math"/>
                <w:color w:val="000000"/>
              </w:rPr>
            </m:ctrlPr>
          </m:sSubPr>
          <m:e>
            <m:r>
              <w:rPr>
                <w:rFonts w:ascii="Cambria Math" w:hAnsi="Cambria Math"/>
              </w:rPr>
              <m:t>λ</m:t>
            </m:r>
          </m:e>
          <m:sub>
            <m:r>
              <w:rPr>
                <w:rFonts w:ascii="Cambria Math" w:eastAsia="Cambria Math" w:hAnsi="Cambria Math"/>
                <w:color w:val="000000"/>
              </w:rPr>
              <m:t>i,j:k</m:t>
            </m:r>
          </m:sub>
        </m:sSub>
      </m:oMath>
      <w:r w:rsidRPr="007F00C7">
        <w:rPr>
          <w:color w:val="000000"/>
        </w:rPr>
        <w:t xml:space="preserve">. </w:t>
      </w:r>
      <w:r w:rsidRPr="007F00C7">
        <w:rPr>
          <w:i/>
          <w:color w:val="000000"/>
        </w:rPr>
        <w:t>F1</w:t>
      </w:r>
      <w:r w:rsidRPr="007F00C7">
        <w:rPr>
          <w:color w:val="000000"/>
        </w:rPr>
        <w:t xml:space="preserve"> is a proportion representing the harmonic mean of precision (the proportion of all tree detections that were correctly matched) and recall (the proportion of all possible matches that were correctly matched). Perfect detection and match rates would yield an </w:t>
      </w:r>
      <w:r w:rsidRPr="007F00C7">
        <w:rPr>
          <w:i/>
          <w:color w:val="000000"/>
        </w:rPr>
        <w:t>F1</w:t>
      </w:r>
      <w:r w:rsidRPr="007F00C7">
        <w:rPr>
          <w:color w:val="000000"/>
        </w:rPr>
        <w:t xml:space="preserve"> of 1.0, while perfect failure would yield 0.0. We chose </w:t>
      </w:r>
      <w:r w:rsidRPr="007F00C7">
        <w:rPr>
          <w:i/>
          <w:color w:val="000000"/>
        </w:rPr>
        <w:t>F1</w:t>
      </w:r>
      <w:r w:rsidRPr="007F00C7">
        <w:rPr>
          <w:color w:val="000000"/>
        </w:rPr>
        <w:t xml:space="preserve"> as the optimization statistic for its balanced sensitivity to over- and under-detection.</w:t>
      </w:r>
    </w:p>
    <w:p w14:paraId="00000033" w14:textId="79541D25" w:rsidR="001527B5" w:rsidRPr="007F00C7" w:rsidRDefault="00000000">
      <w:pPr>
        <w:pBdr>
          <w:top w:val="nil"/>
          <w:left w:val="nil"/>
          <w:bottom w:val="nil"/>
          <w:right w:val="nil"/>
          <w:between w:val="nil"/>
        </w:pBdr>
        <w:spacing w:after="0" w:line="480" w:lineRule="auto"/>
        <w:ind w:firstLine="720"/>
        <w:jc w:val="both"/>
        <w:rPr>
          <w:color w:val="000000"/>
        </w:rPr>
      </w:pPr>
      <w:r w:rsidRPr="007F00C7">
        <w:rPr>
          <w:color w:val="000000"/>
        </w:rPr>
        <w:lastRenderedPageBreak/>
        <w:t>Of the eight algorithms tested, Layer Stacking (</w:t>
      </w:r>
      <w:proofErr w:type="spellStart"/>
      <w:r w:rsidRPr="007F00C7">
        <w:rPr>
          <w:color w:val="000000"/>
        </w:rPr>
        <w:t>Ayrey</w:t>
      </w:r>
      <w:proofErr w:type="spellEnd"/>
      <w:r w:rsidRPr="007F00C7">
        <w:rPr>
          <w:color w:val="000000"/>
        </w:rPr>
        <w:t xml:space="preserve"> et al., 2017) yielded the highest </w:t>
      </w:r>
      <w:r w:rsidRPr="007F00C7">
        <w:rPr>
          <w:i/>
          <w:color w:val="000000"/>
        </w:rPr>
        <w:t>F1</w:t>
      </w:r>
      <w:r w:rsidRPr="007F00C7">
        <w:rPr>
          <w:color w:val="000000"/>
        </w:rPr>
        <w:t xml:space="preserve"> across training and testing sets (Table</w:t>
      </w:r>
      <w:r w:rsidR="001B7572">
        <w:rPr>
          <w:color w:val="000000"/>
        </w:rPr>
        <w:t>s</w:t>
      </w:r>
      <w:r w:rsidRPr="007F00C7">
        <w:rPr>
          <w:color w:val="000000"/>
        </w:rPr>
        <w:t xml:space="preserve"> 1, </w:t>
      </w:r>
      <w:r w:rsidR="001430AE">
        <w:rPr>
          <w:color w:val="000000"/>
        </w:rPr>
        <w:t>A.</w:t>
      </w:r>
      <w:r w:rsidRPr="007F00C7">
        <w:rPr>
          <w:color w:val="000000"/>
        </w:rPr>
        <w:t xml:space="preserve">5, </w:t>
      </w:r>
      <w:r w:rsidR="001430AE">
        <w:rPr>
          <w:color w:val="000000"/>
        </w:rPr>
        <w:t>A.</w:t>
      </w:r>
      <w:r w:rsidRPr="007F00C7">
        <w:rPr>
          <w:color w:val="000000"/>
        </w:rPr>
        <w:t xml:space="preserve">6). For the remainder of the LiDAR-surveyed domain, we extracted the discretized waveform data over conifer forests by finding their intersection with conifer-classified pixels from a species map developed through a support vector machine classifier on the 2018 NEON hyperspectral acquisition (Falco et al., 2024a, 2024b). We forced the Layer Stacking algorithm with the optimal parameter permutation and ran it on the conifer-filtered LiDAR data. The result was a set of points describing the locations and heights of all </w:t>
      </w:r>
      <w:proofErr w:type="spellStart"/>
      <w:r w:rsidRPr="007F00C7">
        <w:rPr>
          <w:color w:val="000000"/>
        </w:rPr>
        <w:t>tree</w:t>
      </w:r>
      <w:proofErr w:type="spellEnd"/>
      <w:r w:rsidRPr="007F00C7">
        <w:rPr>
          <w:color w:val="000000"/>
        </w:rPr>
        <w:t xml:space="preserve"> crowns </w:t>
      </w:r>
      <m:oMath>
        <m:r>
          <w:rPr>
            <w:rFonts w:ascii="Cambria Math" w:hAnsi="Cambria Math"/>
          </w:rPr>
          <m:t>≥</m:t>
        </m:r>
      </m:oMath>
      <w:r w:rsidRPr="007F00C7">
        <w:rPr>
          <w:color w:val="000000"/>
        </w:rPr>
        <w:t xml:space="preserve"> 1.3 m height in the watershed’s conifer forests. We then estimated the DBH of each delineated object using an allometric function of stem height with coefficients fit to binned field observations:</w:t>
      </w:r>
    </w:p>
    <w:bookmarkStart w:id="9" w:name="bookmark=id.2s8eyo1" w:colFirst="0" w:colLast="0"/>
    <w:bookmarkEnd w:id="9"/>
    <w:p w14:paraId="00000034" w14:textId="77777777" w:rsidR="001527B5" w:rsidRPr="007F00C7" w:rsidRDefault="00000000">
      <w:pPr>
        <w:jc w:val="center"/>
        <w:rPr>
          <w:rFonts w:eastAsia="Cambria Math"/>
          <w:color w:val="000000"/>
        </w:rPr>
      </w:pPr>
      <m:oMathPara>
        <m:oMath>
          <m:acc>
            <m:accPr>
              <m:ctrlPr>
                <w:rPr>
                  <w:rFonts w:ascii="Cambria Math" w:eastAsia="Cambria Math" w:hAnsi="Cambria Math"/>
                  <w:color w:val="000000"/>
                </w:rPr>
              </m:ctrlPr>
            </m:accPr>
            <m:e>
              <m:r>
                <w:rPr>
                  <w:rFonts w:ascii="Cambria Math" w:eastAsia="Cambria Math" w:hAnsi="Cambria Math"/>
                  <w:color w:val="000000"/>
                </w:rPr>
                <m:t>DBH</m:t>
              </m:r>
            </m:e>
          </m:acc>
          <m:r>
            <w:rPr>
              <w:rFonts w:ascii="Cambria Math" w:eastAsia="Cambria Math" w:hAnsi="Cambria Math"/>
              <w:color w:val="000000"/>
            </w:rPr>
            <m:t>=exp</m:t>
          </m:r>
          <m:d>
            <m:dPr>
              <m:begChr m:val="["/>
              <m:endChr m:val="]"/>
              <m:ctrlPr>
                <w:rPr>
                  <w:rFonts w:ascii="Cambria Math" w:eastAsia="Cambria Math" w:hAnsi="Cambria Math"/>
                  <w:color w:val="000000"/>
                </w:rPr>
              </m:ctrlPr>
            </m:dPr>
            <m:e>
              <m:r>
                <w:rPr>
                  <w:rFonts w:ascii="Cambria Math" w:eastAsia="Cambria Math" w:hAnsi="Cambria Math"/>
                  <w:color w:val="000000"/>
                </w:rPr>
                <m:t>-0.1361+1.2082 log</m:t>
              </m:r>
              <m:d>
                <m:dPr>
                  <m:ctrlPr>
                    <w:rPr>
                      <w:rFonts w:ascii="Cambria Math" w:eastAsia="Cambria Math" w:hAnsi="Cambria Math"/>
                      <w:color w:val="000000"/>
                    </w:rPr>
                  </m:ctrlPr>
                </m:dPr>
                <m:e>
                  <m:r>
                    <w:rPr>
                      <w:rFonts w:ascii="Cambria Math" w:eastAsia="Cambria Math" w:hAnsi="Cambria Math"/>
                      <w:color w:val="000000"/>
                    </w:rPr>
                    <m:t>H</m:t>
                  </m:r>
                </m:e>
              </m:d>
            </m:e>
          </m:d>
          <m:r>
            <w:rPr>
              <w:rFonts w:ascii="Cambria Math" w:eastAsia="Cambria Math" w:hAnsi="Cambria Math"/>
              <w:color w:val="000000"/>
            </w:rPr>
            <m:t xml:space="preserve"> × exp</m:t>
          </m:r>
          <m:d>
            <m:dPr>
              <m:ctrlPr>
                <w:rPr>
                  <w:rFonts w:ascii="Cambria Math" w:eastAsia="Cambria Math" w:hAnsi="Cambria Math"/>
                  <w:color w:val="000000"/>
                </w:rPr>
              </m:ctrlPr>
            </m:dPr>
            <m:e>
              <m:r>
                <w:rPr>
                  <w:rFonts w:ascii="Cambria Math" w:eastAsia="Cambria Math" w:hAnsi="Cambria Math"/>
                  <w:color w:val="000000"/>
                </w:rPr>
                <m:t>0.0105</m:t>
              </m:r>
            </m:e>
          </m:d>
          <m:r>
            <w:rPr>
              <w:rFonts w:ascii="Cambria Math" w:eastAsia="Cambria Math" w:hAnsi="Cambria Math"/>
              <w:color w:val="000000"/>
            </w:rPr>
            <m:t>  </m:t>
          </m:r>
          <m:d>
            <m:dPr>
              <m:ctrlPr>
                <w:rPr>
                  <w:rFonts w:ascii="Cambria Math" w:eastAsia="Cambria Math" w:hAnsi="Cambria Math"/>
                  <w:color w:val="000000"/>
                </w:rPr>
              </m:ctrlPr>
            </m:dPr>
            <m:e>
              <m:r>
                <w:rPr>
                  <w:rFonts w:ascii="Cambria Math" w:eastAsia="Cambria Math" w:hAnsi="Cambria Math"/>
                  <w:color w:val="000000"/>
                </w:rPr>
                <m:t>2</m:t>
              </m:r>
            </m:e>
          </m:d>
        </m:oMath>
      </m:oMathPara>
    </w:p>
    <w:p w14:paraId="00000035" w14:textId="079A98FC" w:rsidR="001527B5" w:rsidRPr="007F00C7" w:rsidRDefault="00000000">
      <w:pPr>
        <w:pBdr>
          <w:top w:val="nil"/>
          <w:left w:val="nil"/>
          <w:bottom w:val="nil"/>
          <w:right w:val="nil"/>
          <w:between w:val="nil"/>
        </w:pBdr>
        <w:spacing w:after="0" w:line="480" w:lineRule="auto"/>
        <w:rPr>
          <w:color w:val="000000"/>
        </w:rPr>
      </w:pPr>
      <w:r w:rsidRPr="007F00C7">
        <w:rPr>
          <w:color w:val="000000"/>
        </w:rPr>
        <w:t xml:space="preserve">where </w:t>
      </w:r>
      <m:oMath>
        <m:r>
          <w:rPr>
            <w:rFonts w:ascii="Cambria Math" w:eastAsia="Cambria Math" w:hAnsi="Cambria Math"/>
            <w:color w:val="000000"/>
          </w:rPr>
          <m:t>H</m:t>
        </m:r>
      </m:oMath>
      <w:r w:rsidRPr="007F00C7">
        <w:rPr>
          <w:color w:val="000000"/>
        </w:rPr>
        <w:t xml:space="preserve"> is tree height above ground and</w:t>
      </w:r>
      <w:r w:rsidRPr="007F00C7">
        <w:t xml:space="preserve"> </w:t>
      </w:r>
      <w:r w:rsidRPr="007F00C7">
        <w:rPr>
          <w:color w:val="000000"/>
        </w:rPr>
        <w:t xml:space="preserve">the last term </w:t>
      </w:r>
      <w:r w:rsidRPr="007F00C7">
        <w:t>is</w:t>
      </w:r>
      <w:r w:rsidRPr="007F00C7">
        <w:rPr>
          <w:color w:val="000000"/>
        </w:rPr>
        <w:t xml:space="preserve"> </w:t>
      </w:r>
      <m:oMath>
        <m:sSup>
          <m:sSupPr>
            <m:ctrlPr>
              <w:rPr>
                <w:rFonts w:ascii="Cambria Math" w:eastAsia="Cambria Math" w:hAnsi="Cambria Math"/>
              </w:rPr>
            </m:ctrlPr>
          </m:sSupPr>
          <m:e>
            <m:r>
              <w:rPr>
                <w:rFonts w:ascii="Cambria Math" w:hAnsi="Cambria Math"/>
              </w:rPr>
              <m:t>σ</m:t>
            </m:r>
          </m:e>
          <m:sup>
            <m:r>
              <w:rPr>
                <w:rFonts w:ascii="Cambria Math" w:eastAsia="Cambria Math" w:hAnsi="Cambria Math"/>
              </w:rPr>
              <m:t>2</m:t>
            </m:r>
          </m:sup>
        </m:sSup>
        <m:r>
          <w:rPr>
            <w:rFonts w:ascii="Cambria Math" w:eastAsia="Cambria Math" w:hAnsi="Cambria Math"/>
          </w:rPr>
          <m:t>/2</m:t>
        </m:r>
      </m:oMath>
      <w:r w:rsidRPr="007F00C7">
        <w:rPr>
          <w:color w:val="000000"/>
        </w:rPr>
        <w:t xml:space="preserve">, an approximation of theoretical model error </w:t>
      </w:r>
      <m:oMath>
        <m:r>
          <w:rPr>
            <w:rFonts w:ascii="Cambria Math" w:hAnsi="Cambria Math"/>
          </w:rPr>
          <m:t>ϵ</m:t>
        </m:r>
      </m:oMath>
      <w:r w:rsidRPr="007F00C7">
        <w:rPr>
          <w:color w:val="000000"/>
        </w:rPr>
        <w:t xml:space="preserve"> assuming </w:t>
      </w:r>
      <m:oMath>
        <m:r>
          <w:rPr>
            <w:rFonts w:ascii="Cambria Math" w:hAnsi="Cambria Math"/>
          </w:rPr>
          <m:t>ϵ</m:t>
        </m:r>
      </m:oMath>
      <w:r w:rsidRPr="007F00C7">
        <w:rPr>
          <w:color w:val="000000"/>
        </w:rPr>
        <w:t xml:space="preserve"> is normally distributed, imposed for unbiased prediction</w:t>
      </w:r>
      <w:r w:rsidR="002032FA" w:rsidRPr="007F00C7">
        <w:rPr>
          <w:color w:val="000000"/>
        </w:rPr>
        <w:t>,</w:t>
      </w:r>
      <w:r w:rsidRPr="007F00C7">
        <w:t xml:space="preserve"> per Jucker et al. (2017)</w:t>
      </w:r>
      <w:r w:rsidRPr="007F00C7">
        <w:rPr>
          <w:color w:val="000000"/>
        </w:rPr>
        <w:t xml:space="preserve"> (Fig. </w:t>
      </w:r>
      <w:r w:rsidR="00052B9B">
        <w:rPr>
          <w:color w:val="000000"/>
        </w:rPr>
        <w:t>A.</w:t>
      </w:r>
      <w:r w:rsidR="003B7E43">
        <w:rPr>
          <w:color w:val="000000"/>
        </w:rPr>
        <w:t>2</w:t>
      </w:r>
      <w:r w:rsidRPr="007F00C7">
        <w:rPr>
          <w:color w:val="000000"/>
        </w:rPr>
        <w:t>).</w:t>
      </w:r>
    </w:p>
    <w:p w14:paraId="00000036" w14:textId="77777777" w:rsidR="001527B5" w:rsidRPr="007F00C7" w:rsidRDefault="00000000">
      <w:pPr>
        <w:pStyle w:val="Heading3"/>
        <w:rPr>
          <w:rFonts w:ascii="Times New Roman" w:hAnsi="Times New Roman" w:cs="Times New Roman"/>
        </w:rPr>
      </w:pPr>
      <w:bookmarkStart w:id="10" w:name="bookmark=id.17dp8vu" w:colFirst="0" w:colLast="0"/>
      <w:bookmarkEnd w:id="10"/>
      <w:r w:rsidRPr="007F00C7">
        <w:rPr>
          <w:rFonts w:ascii="Times New Roman" w:hAnsi="Times New Roman" w:cs="Times New Roman"/>
        </w:rPr>
        <w:t>2.4.2. Species composition</w:t>
      </w:r>
    </w:p>
    <w:p w14:paraId="00000037" w14:textId="3E9932EB" w:rsidR="001527B5" w:rsidRPr="007F00C7" w:rsidRDefault="00000000">
      <w:pPr>
        <w:pBdr>
          <w:top w:val="nil"/>
          <w:left w:val="nil"/>
          <w:bottom w:val="nil"/>
          <w:right w:val="nil"/>
          <w:between w:val="nil"/>
        </w:pBdr>
        <w:spacing w:after="0" w:line="480" w:lineRule="auto"/>
        <w:ind w:firstLine="720"/>
        <w:jc w:val="both"/>
        <w:rPr>
          <w:color w:val="000000"/>
        </w:rPr>
      </w:pPr>
      <w:r w:rsidRPr="007F00C7">
        <w:rPr>
          <w:color w:val="000000"/>
        </w:rPr>
        <w:t xml:space="preserve">We fused the tree crown product with the forest species classification map (Falco et al., 2024a). First, we ran a marker-controlled watershed segmentation on a canopy height model derived from the discretized waveforms at 0.5 m resolution, using the Layer Stacking ITC objects as controls (Plowright, 2024). </w:t>
      </w:r>
      <w:proofErr w:type="gramStart"/>
      <w:r w:rsidRPr="007F00C7">
        <w:rPr>
          <w:color w:val="000000"/>
        </w:rPr>
        <w:t>This produced polygons</w:t>
      </w:r>
      <w:proofErr w:type="gramEnd"/>
      <w:r w:rsidRPr="007F00C7">
        <w:rPr>
          <w:color w:val="000000"/>
        </w:rPr>
        <w:t xml:space="preserve"> demarcating the estimated crown perimeters of every </w:t>
      </w:r>
      <w:r w:rsidR="00D4543F" w:rsidRPr="007F00C7">
        <w:rPr>
          <w:color w:val="000000"/>
        </w:rPr>
        <w:t xml:space="preserve">detected </w:t>
      </w:r>
      <w:r w:rsidRPr="007F00C7">
        <w:rPr>
          <w:color w:val="000000"/>
        </w:rPr>
        <w:t xml:space="preserve">tree object. Because the NEON passive imaging spectrometer received reflectance signals only from light-exposed portions of tree canopies, </w:t>
      </w:r>
      <w:r w:rsidR="00D4543F" w:rsidRPr="007F00C7">
        <w:rPr>
          <w:color w:val="000000"/>
        </w:rPr>
        <w:t>we</w:t>
      </w:r>
      <w:r w:rsidRPr="007F00C7">
        <w:rPr>
          <w:color w:val="000000"/>
        </w:rPr>
        <w:t xml:space="preserve"> filtered the LiDAR-detected trees to match the hyperspectral targets as nearly as possible by </w:t>
      </w:r>
      <w:r w:rsidRPr="007F00C7">
        <w:t>filtering to objects in the</w:t>
      </w:r>
      <w:r w:rsidRPr="007F00C7">
        <w:rPr>
          <w:color w:val="000000"/>
        </w:rPr>
        <w:t xml:space="preserve"> 90th percentile of height </w:t>
      </w:r>
      <w:r w:rsidRPr="007F00C7">
        <w:t>per</w:t>
      </w:r>
      <w:r w:rsidRPr="007F00C7">
        <w:rPr>
          <w:color w:val="000000"/>
        </w:rPr>
        <w:t xml:space="preserve"> 100 m grid cell. We then overlaid the remaining polygons on </w:t>
      </w:r>
      <w:r w:rsidRPr="007F00C7">
        <w:rPr>
          <w:color w:val="000000"/>
        </w:rPr>
        <w:lastRenderedPageBreak/>
        <w:t>the classification raster and assigned each object to a single tree species according to a majority vote (</w:t>
      </w:r>
      <w:proofErr w:type="spellStart"/>
      <w:r w:rsidRPr="007F00C7">
        <w:rPr>
          <w:color w:val="000000"/>
        </w:rPr>
        <w:t>Dalponte</w:t>
      </w:r>
      <w:proofErr w:type="spellEnd"/>
      <w:r w:rsidRPr="007F00C7">
        <w:rPr>
          <w:color w:val="000000"/>
        </w:rPr>
        <w:t xml:space="preserve"> et al., 2019). If less than 50 </w:t>
      </w:r>
      <w:r w:rsidR="007A5C35">
        <w:rPr>
          <w:color w:val="000000"/>
        </w:rPr>
        <w:t>%</w:t>
      </w:r>
      <w:r w:rsidRPr="007F00C7">
        <w:rPr>
          <w:color w:val="000000"/>
        </w:rPr>
        <w:t xml:space="preserve"> of pixels within a crown polygon belonged to any one species, we labeled the object </w:t>
      </w:r>
      <w:r w:rsidRPr="007F00C7">
        <w:rPr>
          <w:i/>
          <w:iCs/>
          <w:color w:val="000000"/>
        </w:rPr>
        <w:t>NA</w:t>
      </w:r>
      <w:r w:rsidRPr="007F00C7">
        <w:rPr>
          <w:color w:val="000000"/>
        </w:rPr>
        <w:t>.</w:t>
      </w:r>
    </w:p>
    <w:p w14:paraId="00000038" w14:textId="77777777" w:rsidR="001527B5" w:rsidRPr="007F00C7" w:rsidRDefault="00000000">
      <w:pPr>
        <w:pStyle w:val="Heading3"/>
        <w:rPr>
          <w:rFonts w:ascii="Times New Roman" w:hAnsi="Times New Roman" w:cs="Times New Roman"/>
        </w:rPr>
      </w:pPr>
      <w:bookmarkStart w:id="11" w:name="bookmark=id.3rdcrjn" w:colFirst="0" w:colLast="0"/>
      <w:bookmarkEnd w:id="11"/>
      <w:r w:rsidRPr="007F00C7">
        <w:rPr>
          <w:rFonts w:ascii="Times New Roman" w:hAnsi="Times New Roman" w:cs="Times New Roman"/>
        </w:rPr>
        <w:t xml:space="preserve">2.4.3. Stand </w:t>
      </w:r>
      <w:proofErr w:type="gramStart"/>
      <w:r w:rsidRPr="007F00C7">
        <w:rPr>
          <w:rFonts w:ascii="Times New Roman" w:hAnsi="Times New Roman" w:cs="Times New Roman"/>
        </w:rPr>
        <w:t>structure</w:t>
      </w:r>
      <w:proofErr w:type="gramEnd"/>
    </w:p>
    <w:p w14:paraId="00000039" w14:textId="7A02D10E" w:rsidR="001527B5" w:rsidRPr="007F00C7" w:rsidRDefault="00000000">
      <w:pPr>
        <w:pBdr>
          <w:top w:val="nil"/>
          <w:left w:val="nil"/>
          <w:bottom w:val="nil"/>
          <w:right w:val="nil"/>
          <w:between w:val="nil"/>
        </w:pBdr>
        <w:spacing w:after="0" w:line="480" w:lineRule="auto"/>
        <w:ind w:firstLine="720"/>
        <w:jc w:val="both"/>
        <w:rPr>
          <w:color w:val="000000"/>
        </w:rPr>
      </w:pPr>
      <w:r w:rsidRPr="007F00C7">
        <w:rPr>
          <w:color w:val="000000"/>
        </w:rPr>
        <w:t xml:space="preserve">From the fused product, we computed continuous area-based stand structural metrics by summarizing object-level predictions at </w:t>
      </w:r>
      <w:r w:rsidR="00813B10" w:rsidRPr="007F00C7">
        <w:rPr>
          <w:color w:val="000000"/>
        </w:rPr>
        <w:t>100 m</w:t>
      </w:r>
      <w:r w:rsidRPr="007F00C7">
        <w:rPr>
          <w:color w:val="000000"/>
        </w:rPr>
        <w:t xml:space="preserve"> grid scale across the watershed. Structural metrics included total density, stand basal area, quadratic mean diameter (QMD), diameter and height percentiles, and skewness of height, all computed at the level of a grid cell. </w:t>
      </w:r>
      <w:r w:rsidR="00813B10" w:rsidRPr="007F00C7">
        <w:rPr>
          <w:color w:val="000000"/>
        </w:rPr>
        <w:t>We calculated density</w:t>
      </w:r>
      <w:r w:rsidRPr="007F00C7">
        <w:rPr>
          <w:color w:val="000000"/>
        </w:rPr>
        <w:t xml:space="preserve"> (stems </w:t>
      </w:r>
      <w:proofErr w:type="gramStart"/>
      <w:r w:rsidRPr="007F00C7">
        <w:rPr>
          <w:color w:val="000000"/>
        </w:rPr>
        <w:t>ha</w:t>
      </w:r>
      <w:r w:rsidR="00AA7B7B" w:rsidRPr="007F00C7">
        <w:rPr>
          <w:color w:val="000000"/>
          <w:vertAlign w:val="superscript"/>
        </w:rPr>
        <w:t>–</w:t>
      </w:r>
      <w:r w:rsidR="00F728F1" w:rsidRPr="007F00C7">
        <w:rPr>
          <w:color w:val="000000"/>
          <w:vertAlign w:val="superscript"/>
        </w:rPr>
        <w:t>1</w:t>
      </w:r>
      <w:proofErr w:type="gramEnd"/>
      <w:r w:rsidRPr="007F00C7">
        <w:rPr>
          <w:color w:val="000000"/>
        </w:rPr>
        <w:t xml:space="preserve">) as the </w:t>
      </w:r>
      <w:r w:rsidR="00813B10" w:rsidRPr="007F00C7">
        <w:rPr>
          <w:color w:val="000000"/>
        </w:rPr>
        <w:t>total</w:t>
      </w:r>
      <w:r w:rsidRPr="007F00C7">
        <w:rPr>
          <w:color w:val="000000"/>
        </w:rPr>
        <w:t xml:space="preserve"> number of trees </w:t>
      </w:r>
      <w:r w:rsidR="00813B10" w:rsidRPr="007F00C7">
        <w:rPr>
          <w:color w:val="000000"/>
        </w:rPr>
        <w:t>per hectare</w:t>
      </w:r>
      <w:r w:rsidRPr="007F00C7">
        <w:rPr>
          <w:color w:val="000000"/>
        </w:rPr>
        <w:t xml:space="preserve"> for all trees and </w:t>
      </w:r>
      <w:r w:rsidR="00813B10" w:rsidRPr="007F00C7">
        <w:rPr>
          <w:color w:val="000000"/>
        </w:rPr>
        <w:t>by</w:t>
      </w:r>
      <w:r w:rsidRPr="007F00C7">
        <w:rPr>
          <w:color w:val="000000"/>
        </w:rPr>
        <w:t xml:space="preserve"> species. We computed basal area (m</w:t>
      </w:r>
      <w:r w:rsidRPr="007F00C7">
        <w:rPr>
          <w:color w:val="000000"/>
          <w:vertAlign w:val="superscript"/>
        </w:rPr>
        <w:t>2</w:t>
      </w:r>
      <w:r w:rsidRPr="007F00C7">
        <w:rPr>
          <w:color w:val="000000"/>
        </w:rPr>
        <w:t xml:space="preserve"> </w:t>
      </w:r>
      <w:proofErr w:type="gramStart"/>
      <w:r w:rsidRPr="007F00C7">
        <w:rPr>
          <w:color w:val="000000"/>
        </w:rPr>
        <w:t>ha</w:t>
      </w:r>
      <w:r w:rsidR="00F728F1" w:rsidRPr="007F00C7">
        <w:rPr>
          <w:color w:val="000000"/>
          <w:vertAlign w:val="superscript"/>
        </w:rPr>
        <w:t>–1</w:t>
      </w:r>
      <w:proofErr w:type="gramEnd"/>
      <w:r w:rsidRPr="007F00C7">
        <w:rPr>
          <w:color w:val="000000"/>
        </w:rPr>
        <w:t>) as:</w:t>
      </w:r>
    </w:p>
    <w:p w14:paraId="0000003A" w14:textId="6FDCC1CD" w:rsidR="001527B5" w:rsidRPr="007F00C7" w:rsidRDefault="00000000">
      <w:pPr>
        <w:jc w:val="center"/>
        <w:rPr>
          <w:rFonts w:eastAsia="Cambria Math"/>
          <w:color w:val="000000"/>
        </w:rPr>
      </w:pPr>
      <w:bookmarkStart w:id="12" w:name="bookmark=id.26in1rg" w:colFirst="0" w:colLast="0"/>
      <w:bookmarkEnd w:id="12"/>
      <m:oMathPara>
        <m:oMath>
          <m:r>
            <w:rPr>
              <w:rFonts w:ascii="Cambria Math" w:eastAsia="Cambria Math" w:hAnsi="Cambria Math"/>
              <w:color w:val="000000"/>
            </w:rPr>
            <m:t>BA=</m:t>
          </m:r>
          <m:f>
            <m:fPr>
              <m:ctrlPr>
                <w:rPr>
                  <w:rFonts w:ascii="Cambria Math" w:eastAsia="Cambria Math" w:hAnsi="Cambria Math"/>
                  <w:color w:val="000000"/>
                </w:rPr>
              </m:ctrlPr>
            </m:fPr>
            <m:num>
              <m:nary>
                <m:naryPr>
                  <m:chr m:val="∑"/>
                  <m:ctrlPr>
                    <w:rPr>
                      <w:rFonts w:ascii="Cambria Math" w:eastAsia="Cambria Math" w:hAnsi="Cambria Math"/>
                      <w:color w:val="000000"/>
                    </w:rPr>
                  </m:ctrlPr>
                </m:naryPr>
                <m:sub>
                  <m:r>
                    <w:rPr>
                      <w:rFonts w:ascii="Cambria Math" w:eastAsia="Cambria Math" w:hAnsi="Cambria Math"/>
                      <w:color w:val="000000"/>
                    </w:rPr>
                    <m:t>i=1</m:t>
                  </m:r>
                </m:sub>
                <m:sup>
                  <m:r>
                    <w:rPr>
                      <w:rFonts w:ascii="Cambria Math" w:eastAsia="Cambria Math" w:hAnsi="Cambria Math"/>
                      <w:color w:val="000000"/>
                    </w:rPr>
                    <m:t>n</m:t>
                  </m:r>
                </m:sup>
                <m:e>
                  <m:r>
                    <w:rPr>
                      <w:rFonts w:ascii="Cambria Math" w:eastAsia="Cambria Math" w:hAnsi="Cambria Math"/>
                      <w:color w:val="000000"/>
                    </w:rPr>
                    <m:t>π</m:t>
                  </m:r>
                  <m:sSup>
                    <m:sSupPr>
                      <m:ctrlPr>
                        <w:rPr>
                          <w:rFonts w:ascii="Cambria Math" w:eastAsia="Cambria Math" w:hAnsi="Cambria Math"/>
                          <w:color w:val="000000"/>
                        </w:rPr>
                      </m:ctrlPr>
                    </m:sSupPr>
                    <m:e>
                      <m:d>
                        <m:dPr>
                          <m:ctrlPr>
                            <w:rPr>
                              <w:rFonts w:ascii="Cambria Math" w:eastAsia="Cambria Math" w:hAnsi="Cambria Math"/>
                              <w:color w:val="000000"/>
                            </w:rPr>
                          </m:ctrlPr>
                        </m:dPr>
                        <m:e>
                          <m:r>
                            <w:rPr>
                              <w:rFonts w:ascii="Cambria Math" w:eastAsia="Cambria Math" w:hAnsi="Cambria Math"/>
                              <w:color w:val="000000"/>
                            </w:rPr>
                            <m:t>DBH/2</m:t>
                          </m:r>
                        </m:e>
                      </m:d>
                    </m:e>
                    <m:sup>
                      <m:r>
                        <w:rPr>
                          <w:rFonts w:ascii="Cambria Math" w:eastAsia="Cambria Math" w:hAnsi="Cambria Math"/>
                          <w:color w:val="000000"/>
                        </w:rPr>
                        <m:t>2</m:t>
                      </m:r>
                    </m:sup>
                  </m:sSup>
                </m:e>
              </m:nary>
            </m:num>
            <m:den>
              <m:r>
                <w:rPr>
                  <w:rFonts w:ascii="Cambria Math" w:eastAsia="Cambria Math" w:hAnsi="Cambria Math"/>
                  <w:color w:val="000000"/>
                </w:rPr>
                <m:t>grid cell area</m:t>
              </m:r>
            </m:den>
          </m:f>
          <m:r>
            <w:rPr>
              <w:rFonts w:ascii="Cambria Math" w:eastAsia="Cambria Math" w:hAnsi="Cambria Math"/>
              <w:color w:val="000000"/>
            </w:rPr>
            <m:t>  </m:t>
          </m:r>
          <m:d>
            <m:dPr>
              <m:ctrlPr>
                <w:rPr>
                  <w:rFonts w:ascii="Cambria Math" w:eastAsia="Cambria Math" w:hAnsi="Cambria Math"/>
                  <w:color w:val="000000"/>
                </w:rPr>
              </m:ctrlPr>
            </m:dPr>
            <m:e>
              <m:r>
                <w:rPr>
                  <w:rFonts w:ascii="Cambria Math" w:eastAsia="Cambria Math" w:hAnsi="Cambria Math"/>
                  <w:color w:val="000000"/>
                </w:rPr>
                <m:t>3</m:t>
              </m:r>
            </m:e>
          </m:d>
        </m:oMath>
      </m:oMathPara>
    </w:p>
    <w:p w14:paraId="0000003B" w14:textId="77777777" w:rsidR="001527B5" w:rsidRPr="007F00C7" w:rsidRDefault="00000000">
      <w:pPr>
        <w:pBdr>
          <w:top w:val="nil"/>
          <w:left w:val="nil"/>
          <w:bottom w:val="nil"/>
          <w:right w:val="nil"/>
          <w:between w:val="nil"/>
        </w:pBdr>
        <w:spacing w:after="0" w:line="480" w:lineRule="auto"/>
        <w:rPr>
          <w:color w:val="000000"/>
        </w:rPr>
      </w:pPr>
      <w:r w:rsidRPr="007F00C7">
        <w:rPr>
          <w:color w:val="000000"/>
        </w:rPr>
        <w:t>and QMD (cm) as:</w:t>
      </w:r>
    </w:p>
    <w:p w14:paraId="0000003C" w14:textId="15F5C2CA" w:rsidR="001527B5" w:rsidRPr="007F00C7" w:rsidRDefault="00000000">
      <w:pPr>
        <w:jc w:val="center"/>
        <w:rPr>
          <w:rFonts w:eastAsia="Cambria Math"/>
          <w:color w:val="000000"/>
        </w:rPr>
      </w:pPr>
      <w:bookmarkStart w:id="13" w:name="bookmark=id.lnxbz9" w:colFirst="0" w:colLast="0"/>
      <w:bookmarkEnd w:id="13"/>
      <m:oMathPara>
        <m:oMath>
          <m:r>
            <w:rPr>
              <w:rFonts w:ascii="Cambria Math" w:eastAsia="Cambria Math" w:hAnsi="Cambria Math"/>
              <w:color w:val="000000"/>
            </w:rPr>
            <m:t>QMD=</m:t>
          </m:r>
          <m:rad>
            <m:radPr>
              <m:degHide m:val="1"/>
              <m:ctrlPr>
                <w:rPr>
                  <w:rFonts w:ascii="Cambria Math" w:eastAsia="Cambria Math" w:hAnsi="Cambria Math"/>
                  <w:color w:val="000000"/>
                </w:rPr>
              </m:ctrlPr>
            </m:radPr>
            <m:deg/>
            <m:e>
              <m:f>
                <m:fPr>
                  <m:ctrlPr>
                    <w:rPr>
                      <w:rFonts w:ascii="Cambria Math" w:eastAsia="Cambria Math" w:hAnsi="Cambria Math"/>
                      <w:color w:val="000000"/>
                    </w:rPr>
                  </m:ctrlPr>
                </m:fPr>
                <m:num>
                  <m:r>
                    <w:rPr>
                      <w:rFonts w:ascii="Cambria Math" w:eastAsia="Cambria Math" w:hAnsi="Cambria Math"/>
                      <w:color w:val="000000"/>
                    </w:rPr>
                    <m:t>1</m:t>
                  </m:r>
                </m:num>
                <m:den>
                  <m:r>
                    <w:rPr>
                      <w:rFonts w:ascii="Cambria Math" w:eastAsia="Cambria Math" w:hAnsi="Cambria Math"/>
                      <w:color w:val="000000"/>
                    </w:rPr>
                    <m:t>n</m:t>
                  </m:r>
                </m:den>
              </m:f>
              <m:nary>
                <m:naryPr>
                  <m:chr m:val="∑"/>
                  <m:ctrlPr>
                    <w:rPr>
                      <w:rFonts w:ascii="Cambria Math" w:eastAsia="Cambria Math" w:hAnsi="Cambria Math"/>
                      <w:color w:val="000000"/>
                    </w:rPr>
                  </m:ctrlPr>
                </m:naryPr>
                <m:sub>
                  <m:r>
                    <w:rPr>
                      <w:rFonts w:ascii="Cambria Math" w:eastAsia="Cambria Math" w:hAnsi="Cambria Math"/>
                      <w:color w:val="000000"/>
                    </w:rPr>
                    <m:t>i=1</m:t>
                  </m:r>
                </m:sub>
                <m:sup>
                  <m:r>
                    <w:rPr>
                      <w:rFonts w:ascii="Cambria Math" w:eastAsia="Cambria Math" w:hAnsi="Cambria Math"/>
                      <w:color w:val="000000"/>
                    </w:rPr>
                    <m:t>n</m:t>
                  </m:r>
                </m:sup>
                <m:e>
                  <m:r>
                    <w:rPr>
                      <w:rFonts w:ascii="Cambria Math" w:eastAsia="Cambria Math" w:hAnsi="Cambria Math"/>
                      <w:color w:val="000000"/>
                    </w:rPr>
                    <m:t>DB</m:t>
                  </m:r>
                  <m:sSup>
                    <m:sSupPr>
                      <m:ctrlPr>
                        <w:rPr>
                          <w:rFonts w:ascii="Cambria Math" w:eastAsia="Cambria Math" w:hAnsi="Cambria Math"/>
                          <w:color w:val="000000"/>
                        </w:rPr>
                      </m:ctrlPr>
                    </m:sSupPr>
                    <m:e>
                      <m:r>
                        <w:rPr>
                          <w:rFonts w:ascii="Cambria Math" w:eastAsia="Cambria Math" w:hAnsi="Cambria Math"/>
                          <w:color w:val="000000"/>
                        </w:rPr>
                        <m:t>H</m:t>
                      </m:r>
                    </m:e>
                    <m:sup>
                      <m:r>
                        <w:rPr>
                          <w:rFonts w:ascii="Cambria Math" w:eastAsia="Cambria Math" w:hAnsi="Cambria Math"/>
                          <w:color w:val="000000"/>
                        </w:rPr>
                        <m:t>2</m:t>
                      </m:r>
                    </m:sup>
                  </m:sSup>
                </m:e>
              </m:nary>
            </m:e>
          </m:rad>
          <m:r>
            <w:rPr>
              <w:rFonts w:ascii="Cambria Math" w:eastAsia="Cambria Math" w:hAnsi="Cambria Math"/>
              <w:color w:val="000000"/>
            </w:rPr>
            <m:t>  </m:t>
          </m:r>
          <m:d>
            <m:dPr>
              <m:ctrlPr>
                <w:rPr>
                  <w:rFonts w:ascii="Cambria Math" w:eastAsia="Cambria Math" w:hAnsi="Cambria Math"/>
                  <w:color w:val="000000"/>
                </w:rPr>
              </m:ctrlPr>
            </m:dPr>
            <m:e>
              <m:r>
                <w:rPr>
                  <w:rFonts w:ascii="Cambria Math" w:eastAsia="Cambria Math" w:hAnsi="Cambria Math"/>
                  <w:color w:val="000000"/>
                </w:rPr>
                <m:t>4</m:t>
              </m:r>
            </m:e>
          </m:d>
        </m:oMath>
      </m:oMathPara>
    </w:p>
    <w:p w14:paraId="0000003D" w14:textId="19C79CDA" w:rsidR="001527B5" w:rsidRPr="007F00C7" w:rsidRDefault="00000000">
      <w:pPr>
        <w:pBdr>
          <w:top w:val="nil"/>
          <w:left w:val="nil"/>
          <w:bottom w:val="nil"/>
          <w:right w:val="nil"/>
          <w:between w:val="nil"/>
        </w:pBdr>
        <w:spacing w:after="0" w:line="480" w:lineRule="auto"/>
        <w:rPr>
          <w:color w:val="000000"/>
        </w:rPr>
      </w:pPr>
      <w:r w:rsidRPr="007F00C7">
        <w:rPr>
          <w:color w:val="000000"/>
        </w:rPr>
        <w:t xml:space="preserve">where </w:t>
      </w:r>
      <m:oMath>
        <m:r>
          <w:rPr>
            <w:rFonts w:ascii="Cambria Math" w:eastAsia="Cambria Math" w:hAnsi="Cambria Math"/>
            <w:color w:val="000000"/>
          </w:rPr>
          <m:t>n</m:t>
        </m:r>
      </m:oMath>
      <w:r w:rsidRPr="007F00C7">
        <w:rPr>
          <w:color w:val="000000"/>
        </w:rPr>
        <w:t xml:space="preserve"> is the number of trees in the cell. </w:t>
      </w:r>
      <w:r w:rsidR="00622AE9" w:rsidRPr="007F00C7">
        <w:rPr>
          <w:color w:val="000000"/>
        </w:rPr>
        <w:t>We specified s</w:t>
      </w:r>
      <w:r w:rsidRPr="007F00C7">
        <w:rPr>
          <w:color w:val="000000"/>
        </w:rPr>
        <w:t>kewness of height as the third central moment of the distribution of stem heights. Larger positive values signified a larger proportion of trees in smaller height classes than a normal distribution. More negative values signified a larger proportion of trees in larger height classes.</w:t>
      </w:r>
    </w:p>
    <w:p w14:paraId="0000003E" w14:textId="682A176C" w:rsidR="001527B5" w:rsidRPr="007F00C7" w:rsidRDefault="00000000">
      <w:pPr>
        <w:pBdr>
          <w:top w:val="nil"/>
          <w:left w:val="nil"/>
          <w:bottom w:val="nil"/>
          <w:right w:val="nil"/>
          <w:between w:val="nil"/>
        </w:pBdr>
        <w:spacing w:after="0" w:line="480" w:lineRule="auto"/>
        <w:ind w:firstLine="720"/>
        <w:jc w:val="both"/>
        <w:rPr>
          <w:color w:val="000000"/>
        </w:rPr>
      </w:pPr>
      <w:r w:rsidRPr="007F00C7">
        <w:rPr>
          <w:color w:val="000000"/>
        </w:rPr>
        <w:t>To further restrict the analysis to intact conifer forest stands, we further masked each raster</w:t>
      </w:r>
      <w:r w:rsidR="00B024C9" w:rsidRPr="007F00C7">
        <w:rPr>
          <w:color w:val="000000"/>
        </w:rPr>
        <w:t xml:space="preserve"> to</w:t>
      </w:r>
      <w:r w:rsidRPr="007F00C7">
        <w:rPr>
          <w:color w:val="000000"/>
        </w:rPr>
        <w:t xml:space="preserve"> exclud</w:t>
      </w:r>
      <w:r w:rsidR="00B024C9" w:rsidRPr="007F00C7">
        <w:rPr>
          <w:color w:val="000000"/>
        </w:rPr>
        <w:t>e</w:t>
      </w:r>
      <w:r w:rsidRPr="007F00C7">
        <w:rPr>
          <w:color w:val="000000"/>
        </w:rPr>
        <w:t xml:space="preserve"> pixels </w:t>
      </w:r>
      <w:r w:rsidR="00B024C9" w:rsidRPr="007F00C7">
        <w:rPr>
          <w:color w:val="000000"/>
        </w:rPr>
        <w:t>that had a</w:t>
      </w:r>
      <w:r w:rsidRPr="007F00C7">
        <w:rPr>
          <w:color w:val="000000"/>
        </w:rPr>
        <w:t xml:space="preserve"> total density less than 100 stems ha</w:t>
      </w:r>
      <w:r w:rsidR="00F728F1" w:rsidRPr="007F00C7">
        <w:rPr>
          <w:color w:val="000000"/>
          <w:vertAlign w:val="superscript"/>
        </w:rPr>
        <w:t>–1</w:t>
      </w:r>
      <w:r w:rsidR="00B024C9" w:rsidRPr="007F00C7">
        <w:rPr>
          <w:color w:val="000000"/>
        </w:rPr>
        <w:t xml:space="preserve"> or intersected a</w:t>
      </w:r>
      <w:r w:rsidRPr="007F00C7">
        <w:rPr>
          <w:color w:val="000000"/>
        </w:rPr>
        <w:t xml:space="preserve"> 100 m buffer around roads, developed areas, and the outer perimeter of the NEON AOP LiDAR acquisition. A hardware failure during the June 20, 2018, LiDAR flight rendered the waveform data irretrievable </w:t>
      </w:r>
      <w:r w:rsidRPr="007F00C7">
        <w:rPr>
          <w:color w:val="000000"/>
        </w:rPr>
        <w:lastRenderedPageBreak/>
        <w:t>(</w:t>
      </w:r>
      <w:proofErr w:type="spellStart"/>
      <w:r w:rsidRPr="007F00C7">
        <w:rPr>
          <w:color w:val="000000"/>
        </w:rPr>
        <w:t>Goulden</w:t>
      </w:r>
      <w:proofErr w:type="spellEnd"/>
      <w:r w:rsidRPr="007F00C7">
        <w:rPr>
          <w:color w:val="000000"/>
        </w:rPr>
        <w:t xml:space="preserve"> and </w:t>
      </w:r>
      <w:proofErr w:type="spellStart"/>
      <w:r w:rsidRPr="007F00C7">
        <w:rPr>
          <w:color w:val="000000"/>
        </w:rPr>
        <w:t>Musinsky</w:t>
      </w:r>
      <w:proofErr w:type="spellEnd"/>
      <w:r w:rsidRPr="007F00C7">
        <w:rPr>
          <w:color w:val="000000"/>
        </w:rPr>
        <w:t xml:space="preserve">, 2020). This gap is visible as an empty north-south swath in the forest structure products and </w:t>
      </w:r>
      <w:r w:rsidR="00F153AB" w:rsidRPr="007F00C7">
        <w:rPr>
          <w:color w:val="000000"/>
        </w:rPr>
        <w:t>wa</w:t>
      </w:r>
      <w:r w:rsidRPr="007F00C7">
        <w:rPr>
          <w:color w:val="000000"/>
        </w:rPr>
        <w:t>s excluded from analysis, along with a 100 m buffer around its perimeter to minimize edge effects.</w:t>
      </w:r>
    </w:p>
    <w:p w14:paraId="0000003F" w14:textId="77777777" w:rsidR="001527B5" w:rsidRPr="007F00C7" w:rsidRDefault="00000000">
      <w:pPr>
        <w:pStyle w:val="Heading2"/>
        <w:rPr>
          <w:rFonts w:ascii="Times New Roman" w:hAnsi="Times New Roman" w:cs="Times New Roman"/>
        </w:rPr>
      </w:pPr>
      <w:bookmarkStart w:id="14" w:name="bookmark=id.35nkun2" w:colFirst="0" w:colLast="0"/>
      <w:bookmarkEnd w:id="14"/>
      <w:r w:rsidRPr="007F00C7">
        <w:rPr>
          <w:rFonts w:ascii="Times New Roman" w:hAnsi="Times New Roman" w:cs="Times New Roman"/>
        </w:rPr>
        <w:t>2.5. Abiotic explanatory variables</w:t>
      </w:r>
    </w:p>
    <w:p w14:paraId="00000040" w14:textId="77777777" w:rsidR="001527B5" w:rsidRPr="007F00C7" w:rsidRDefault="00000000">
      <w:pPr>
        <w:pStyle w:val="Heading3"/>
        <w:rPr>
          <w:rFonts w:ascii="Times New Roman" w:hAnsi="Times New Roman" w:cs="Times New Roman"/>
        </w:rPr>
      </w:pPr>
      <w:bookmarkStart w:id="15" w:name="bookmark=id.1ksv4uv" w:colFirst="0" w:colLast="0"/>
      <w:bookmarkEnd w:id="15"/>
      <w:r w:rsidRPr="007F00C7">
        <w:rPr>
          <w:rFonts w:ascii="Times New Roman" w:hAnsi="Times New Roman" w:cs="Times New Roman"/>
        </w:rPr>
        <w:t>2.5.1. Topography</w:t>
      </w:r>
    </w:p>
    <w:p w14:paraId="00000041" w14:textId="3102206B" w:rsidR="001527B5" w:rsidRPr="007F00C7" w:rsidRDefault="00000000">
      <w:pPr>
        <w:pBdr>
          <w:top w:val="nil"/>
          <w:left w:val="nil"/>
          <w:bottom w:val="nil"/>
          <w:right w:val="nil"/>
          <w:between w:val="nil"/>
        </w:pBdr>
        <w:spacing w:after="0" w:line="480" w:lineRule="auto"/>
        <w:ind w:firstLine="720"/>
        <w:jc w:val="both"/>
        <w:rPr>
          <w:color w:val="000000"/>
        </w:rPr>
      </w:pPr>
      <w:r w:rsidRPr="007F00C7">
        <w:rPr>
          <w:color w:val="000000"/>
        </w:rPr>
        <w:t xml:space="preserve">We generated six topographic variables from the </w:t>
      </w:r>
      <w:r w:rsidR="0046728D" w:rsidRPr="007F00C7">
        <w:rPr>
          <w:color w:val="000000"/>
        </w:rPr>
        <w:t>LiDAR-derived</w:t>
      </w:r>
      <w:r w:rsidRPr="007F00C7">
        <w:rPr>
          <w:color w:val="000000"/>
        </w:rPr>
        <w:t xml:space="preserve"> DEM (</w:t>
      </w:r>
      <w:proofErr w:type="spellStart"/>
      <w:r w:rsidRPr="007F00C7">
        <w:rPr>
          <w:color w:val="000000"/>
        </w:rPr>
        <w:t>Goulden</w:t>
      </w:r>
      <w:proofErr w:type="spellEnd"/>
      <w:r w:rsidRPr="007F00C7">
        <w:rPr>
          <w:color w:val="000000"/>
        </w:rPr>
        <w:t xml:space="preserve"> et al., 2020) at the 100 m grid scale: elevation, slope angle (º), folded aspect, heat load, topographic position index (TPI), and topographic wetness index (TWI) (Table </w:t>
      </w:r>
      <w:r w:rsidR="001430AE">
        <w:rPr>
          <w:color w:val="000000"/>
        </w:rPr>
        <w:t>A.</w:t>
      </w:r>
      <w:r w:rsidRPr="007F00C7">
        <w:rPr>
          <w:color w:val="000000"/>
        </w:rPr>
        <w:t>1</w:t>
      </w:r>
      <w:r w:rsidR="002C6C15">
        <w:rPr>
          <w:color w:val="000000"/>
        </w:rPr>
        <w:t>,</w:t>
      </w:r>
      <w:r w:rsidR="00875C72">
        <w:rPr>
          <w:color w:val="000000"/>
        </w:rPr>
        <w:t xml:space="preserve"> Fig. A.3</w:t>
      </w:r>
      <w:r w:rsidRPr="007F00C7">
        <w:rPr>
          <w:color w:val="000000"/>
        </w:rPr>
        <w:t xml:space="preserve">). </w:t>
      </w:r>
      <w:r w:rsidR="0046728D" w:rsidRPr="007F00C7">
        <w:rPr>
          <w:color w:val="000000"/>
        </w:rPr>
        <w:t>We calculated h</w:t>
      </w:r>
      <w:r w:rsidRPr="007F00C7">
        <w:rPr>
          <w:color w:val="000000"/>
        </w:rPr>
        <w:t xml:space="preserve">eat load (unitless index) </w:t>
      </w:r>
      <w:r w:rsidR="0046728D" w:rsidRPr="007F00C7">
        <w:rPr>
          <w:color w:val="000000"/>
        </w:rPr>
        <w:t xml:space="preserve">as a proxy of incident solar radiation </w:t>
      </w:r>
      <w:r w:rsidRPr="007F00C7">
        <w:rPr>
          <w:color w:val="000000"/>
        </w:rPr>
        <w:t>using the method in McCune and Keon</w:t>
      </w:r>
      <w:r w:rsidR="00B33536">
        <w:rPr>
          <w:color w:val="000000"/>
        </w:rPr>
        <w:t xml:space="preserve"> (</w:t>
      </w:r>
      <w:r w:rsidRPr="007F00C7">
        <w:rPr>
          <w:color w:val="000000"/>
        </w:rPr>
        <w:t xml:space="preserve">2002). We computed the topographic position index (TPI), a morphometric measure of hillslope position, as the difference between a target pixel’s elevation and the mean elevation within 9-pixel (1000 m) neighborhood, normalized to the </w:t>
      </w:r>
      <w:proofErr w:type="spellStart"/>
      <w:r w:rsidRPr="007F00C7">
        <w:rPr>
          <w:color w:val="000000"/>
        </w:rPr>
        <w:t>s.d.</w:t>
      </w:r>
      <w:proofErr w:type="spellEnd"/>
      <w:r w:rsidRPr="007F00C7">
        <w:rPr>
          <w:color w:val="000000"/>
        </w:rPr>
        <w:t xml:space="preserve"> of elevation (De Reu et al., 2013). TPI values are more positive when a target point is higher than its neighborhood, and more negative when the target is lower. Topographic Wetness Index (TWI) </w:t>
      </w:r>
      <w:r w:rsidR="007E5E31">
        <w:rPr>
          <w:color w:val="000000"/>
        </w:rPr>
        <w:t>(</w:t>
      </w:r>
      <w:proofErr w:type="gramStart"/>
      <w:r w:rsidRPr="007F00C7">
        <w:rPr>
          <w:color w:val="000000"/>
        </w:rPr>
        <w:t>log(</w:t>
      </w:r>
      <w:proofErr w:type="gramEnd"/>
      <w:r w:rsidRPr="007F00C7">
        <w:rPr>
          <w:color w:val="000000"/>
        </w:rPr>
        <w:t>m</w:t>
      </w:r>
      <w:r w:rsidRPr="007F00C7">
        <w:rPr>
          <w:color w:val="000000"/>
          <w:vertAlign w:val="superscript"/>
        </w:rPr>
        <w:t>2</w:t>
      </w:r>
      <w:r w:rsidRPr="007F00C7">
        <w:rPr>
          <w:color w:val="000000"/>
        </w:rPr>
        <w:t xml:space="preserve"> m</w:t>
      </w:r>
      <w:r w:rsidRPr="007F00C7">
        <w:rPr>
          <w:color w:val="000000"/>
          <w:vertAlign w:val="superscript"/>
        </w:rPr>
        <w:t>–1</w:t>
      </w:r>
      <w:r w:rsidRPr="007F00C7">
        <w:rPr>
          <w:color w:val="000000"/>
        </w:rPr>
        <w:t>)</w:t>
      </w:r>
      <w:r w:rsidR="007E5E31">
        <w:rPr>
          <w:color w:val="000000"/>
        </w:rPr>
        <w:t>)</w:t>
      </w:r>
      <w:r w:rsidRPr="007F00C7">
        <w:rPr>
          <w:color w:val="000000"/>
        </w:rPr>
        <w:t xml:space="preserve"> is an estimate of the relative capacity of an area to accumulate water through surface or subsurface flow. We selected this as a proxy for subsurface moisture conditions</w:t>
      </w:r>
      <w:r w:rsidR="00982328">
        <w:rPr>
          <w:color w:val="000000"/>
        </w:rPr>
        <w:t xml:space="preserve"> and computed it</w:t>
      </w:r>
      <w:r w:rsidRPr="007F00C7">
        <w:rPr>
          <w:color w:val="000000"/>
        </w:rPr>
        <w:t xml:space="preserve"> as the log ratio between a pixel’s upslope contributing area and its own slope angle (Metcalfe et al. 2018).</w:t>
      </w:r>
    </w:p>
    <w:p w14:paraId="00000042" w14:textId="77777777" w:rsidR="001527B5" w:rsidRPr="007F00C7" w:rsidRDefault="00000000">
      <w:pPr>
        <w:pStyle w:val="Heading3"/>
        <w:rPr>
          <w:rFonts w:ascii="Times New Roman" w:hAnsi="Times New Roman" w:cs="Times New Roman"/>
        </w:rPr>
      </w:pPr>
      <w:bookmarkStart w:id="16" w:name="bookmark=id.44sinio" w:colFirst="0" w:colLast="0"/>
      <w:bookmarkEnd w:id="16"/>
      <w:r w:rsidRPr="007F00C7">
        <w:rPr>
          <w:rFonts w:ascii="Times New Roman" w:hAnsi="Times New Roman" w:cs="Times New Roman"/>
        </w:rPr>
        <w:t>2.5.2. Climate</w:t>
      </w:r>
    </w:p>
    <w:p w14:paraId="00000043" w14:textId="0D00ABCA" w:rsidR="001527B5" w:rsidRPr="007F00C7" w:rsidRDefault="00000000">
      <w:pPr>
        <w:pBdr>
          <w:top w:val="nil"/>
          <w:left w:val="nil"/>
          <w:bottom w:val="nil"/>
          <w:right w:val="nil"/>
          <w:between w:val="nil"/>
        </w:pBdr>
        <w:spacing w:after="0" w:line="480" w:lineRule="auto"/>
        <w:ind w:firstLine="720"/>
        <w:jc w:val="both"/>
        <w:rPr>
          <w:color w:val="000000"/>
        </w:rPr>
      </w:pPr>
      <w:r w:rsidRPr="007F00C7">
        <w:rPr>
          <w:color w:val="000000"/>
        </w:rPr>
        <w:t xml:space="preserve">To estimate relative spatial patterns of snow accumulation (m), we retrieved snow water equivalent (SWE) data produced by Airborne Snow Observatories, Inc. (formerly NASA/JPL Airborne Snow Observatory; ASO) from snow-on flights on March 31, 2018, April 4, 2019, and April 21, 2022 </w:t>
      </w:r>
      <w:r w:rsidRPr="007F00C7">
        <w:t>(</w:t>
      </w:r>
      <w:r w:rsidRPr="007F00C7">
        <w:rPr>
          <w:color w:val="000000"/>
        </w:rPr>
        <w:t>Deems et al.</w:t>
      </w:r>
      <w:r w:rsidRPr="007F00C7">
        <w:t>, 2013</w:t>
      </w:r>
      <w:r w:rsidRPr="007F00C7">
        <w:rPr>
          <w:color w:val="000000"/>
        </w:rPr>
        <w:t>; Painter et al., 2016; Painter et al.</w:t>
      </w:r>
      <w:r w:rsidRPr="007F00C7">
        <w:t xml:space="preserve">, </w:t>
      </w:r>
      <w:r w:rsidRPr="007F00C7">
        <w:rPr>
          <w:color w:val="000000"/>
        </w:rPr>
        <w:t xml:space="preserve">2018; see also </w:t>
      </w:r>
      <w:hyperlink r:id="rId9">
        <w:r w:rsidRPr="007F00C7">
          <w:rPr>
            <w:color w:val="4F81BD"/>
          </w:rPr>
          <w:t>https://data.airbornesnowobservatories.com/</w:t>
        </w:r>
      </w:hyperlink>
      <w:r w:rsidRPr="007F00C7">
        <w:rPr>
          <w:color w:val="000000"/>
        </w:rPr>
        <w:t xml:space="preserve">). The SWE product was generated from aerial </w:t>
      </w:r>
      <w:r w:rsidRPr="007F00C7">
        <w:rPr>
          <w:color w:val="000000"/>
        </w:rPr>
        <w:lastRenderedPageBreak/>
        <w:t xml:space="preserve">measurements of snow depth, spectral albedo, and radiative forcing, combined with modeled snow density from </w:t>
      </w:r>
      <w:proofErr w:type="spellStart"/>
      <w:r w:rsidRPr="007F00C7">
        <w:rPr>
          <w:color w:val="000000"/>
        </w:rPr>
        <w:t>iSnobal</w:t>
      </w:r>
      <w:proofErr w:type="spellEnd"/>
      <w:r w:rsidRPr="007F00C7">
        <w:rPr>
          <w:color w:val="000000"/>
        </w:rPr>
        <w:t xml:space="preserve"> (Painter et al., 2016). We also produced an estimate of the relative velocity of snow disappearance (% </w:t>
      </w:r>
      <w:proofErr w:type="gramStart"/>
      <w:r w:rsidRPr="007F00C7">
        <w:rPr>
          <w:color w:val="000000"/>
        </w:rPr>
        <w:t>day</w:t>
      </w:r>
      <w:r w:rsidRPr="007F00C7">
        <w:rPr>
          <w:color w:val="000000"/>
          <w:vertAlign w:val="superscript"/>
        </w:rPr>
        <w:t>–1</w:t>
      </w:r>
      <w:proofErr w:type="gramEnd"/>
      <w:r w:rsidRPr="007F00C7">
        <w:rPr>
          <w:color w:val="000000"/>
        </w:rPr>
        <w:t xml:space="preserve">). In each flight year, we differenced the snow-on SWE estimates and </w:t>
      </w:r>
      <w:r w:rsidR="0046728D" w:rsidRPr="007F00C7">
        <w:rPr>
          <w:color w:val="000000"/>
        </w:rPr>
        <w:t>those</w:t>
      </w:r>
      <w:r w:rsidRPr="007F00C7">
        <w:rPr>
          <w:color w:val="000000"/>
        </w:rPr>
        <w:t xml:space="preserve"> from subsequent low-snow flights in late spring of each year (May 24, 2018; June 10, 2019; and May 18, 2022, respectively), and normalized the result to the snow-on values for percent change. We then divided these percentages by the day interval between paired flights. While the ASO data may not have captured peak snow depth or maximum snow-free extent in each season, averaging across three years of flights enabled us to approximate the dominant spatial patterns of depth and disappearance across the domain.</w:t>
      </w:r>
    </w:p>
    <w:p w14:paraId="00000044" w14:textId="445E2F7B" w:rsidR="001527B5" w:rsidRPr="007F00C7" w:rsidRDefault="00000000">
      <w:pPr>
        <w:pBdr>
          <w:top w:val="nil"/>
          <w:left w:val="nil"/>
          <w:bottom w:val="nil"/>
          <w:right w:val="nil"/>
          <w:between w:val="nil"/>
        </w:pBdr>
        <w:spacing w:after="0" w:line="480" w:lineRule="auto"/>
        <w:ind w:firstLine="720"/>
        <w:jc w:val="both"/>
        <w:rPr>
          <w:color w:val="000000"/>
        </w:rPr>
      </w:pPr>
      <w:r w:rsidRPr="007F00C7">
        <w:rPr>
          <w:color w:val="000000"/>
        </w:rPr>
        <w:t>We also retrieved the estimates of mean annual AET and CWD generated by the Basin Characterization Model (BCM) for the Upper Colorado Basin from 1985 to 2012 at 270 m resolution (</w:t>
      </w:r>
      <w:proofErr w:type="spellStart"/>
      <w:r w:rsidRPr="007F00C7">
        <w:rPr>
          <w:color w:val="000000"/>
        </w:rPr>
        <w:t>Buto</w:t>
      </w:r>
      <w:proofErr w:type="spellEnd"/>
      <w:r w:rsidRPr="007F00C7">
        <w:rPr>
          <w:color w:val="000000"/>
        </w:rPr>
        <w:t xml:space="preserve"> et al., 2017). The BCM has been widely used in ecological and management applications (Flint et al., 2013). AET is the depth of water (mm) evaporated from the surface or transpired by plants within each pixel. CWD is the difference between PET and AET (mm), where PET is the total depth of water that can be evaporated or transpired given prevailing atmospheric conditions. Under non-limiting moisture conditions, AET equals PET and CWD is 0; positive CWD values </w:t>
      </w:r>
      <w:r w:rsidR="00896EF7" w:rsidRPr="007F00C7">
        <w:rPr>
          <w:color w:val="000000"/>
        </w:rPr>
        <w:t>indicate</w:t>
      </w:r>
      <w:r w:rsidRPr="007F00C7">
        <w:rPr>
          <w:color w:val="000000"/>
        </w:rPr>
        <w:t xml:space="preserve"> a moisture deficit (</w:t>
      </w:r>
      <w:proofErr w:type="spellStart"/>
      <w:r w:rsidRPr="007F00C7">
        <w:rPr>
          <w:color w:val="000000"/>
        </w:rPr>
        <w:t>Buto</w:t>
      </w:r>
      <w:proofErr w:type="spellEnd"/>
      <w:r w:rsidRPr="007F00C7">
        <w:rPr>
          <w:color w:val="000000"/>
        </w:rPr>
        <w:t xml:space="preserve"> et al., 2017).</w:t>
      </w:r>
    </w:p>
    <w:p w14:paraId="00000045" w14:textId="77777777" w:rsidR="001527B5" w:rsidRPr="007F00C7" w:rsidRDefault="00000000">
      <w:pPr>
        <w:pStyle w:val="Heading3"/>
        <w:rPr>
          <w:rFonts w:ascii="Times New Roman" w:hAnsi="Times New Roman" w:cs="Times New Roman"/>
        </w:rPr>
      </w:pPr>
      <w:bookmarkStart w:id="17" w:name="bookmark=id.2jxsxqh" w:colFirst="0" w:colLast="0"/>
      <w:bookmarkEnd w:id="17"/>
      <w:r w:rsidRPr="007F00C7">
        <w:rPr>
          <w:rFonts w:ascii="Times New Roman" w:hAnsi="Times New Roman" w:cs="Times New Roman"/>
        </w:rPr>
        <w:t>2.5.3. Substrate</w:t>
      </w:r>
    </w:p>
    <w:p w14:paraId="00000046" w14:textId="77777777" w:rsidR="001527B5" w:rsidRPr="007F00C7" w:rsidRDefault="00000000">
      <w:pPr>
        <w:pBdr>
          <w:top w:val="nil"/>
          <w:left w:val="nil"/>
          <w:bottom w:val="nil"/>
          <w:right w:val="nil"/>
          <w:between w:val="nil"/>
        </w:pBdr>
        <w:spacing w:after="0" w:line="480" w:lineRule="auto"/>
        <w:ind w:firstLine="720"/>
        <w:jc w:val="both"/>
        <w:rPr>
          <w:color w:val="000000"/>
        </w:rPr>
      </w:pPr>
      <w:r w:rsidRPr="007F00C7">
        <w:rPr>
          <w:color w:val="000000"/>
        </w:rPr>
        <w:t xml:space="preserve">To evaluate edaphic influences on forest structure and composition, we calculated continuous estimates of soil properties from the U.S. Department of Agriculture (USDA) Natural Resources Conservation Service (NRCS) Soil Survey Geographic Database (SSURGO) (Soil Survey Staff, Natural Resources Conservation Service, United States Department of Agriculture, 2023). SSURGO contains geospatial information on soil properties predicted via an ensemble of </w:t>
      </w:r>
      <w:r w:rsidRPr="007F00C7">
        <w:rPr>
          <w:color w:val="000000"/>
        </w:rPr>
        <w:lastRenderedPageBreak/>
        <w:t xml:space="preserve">regression, classification, and machine-learning operations on </w:t>
      </w:r>
      <w:r w:rsidRPr="007F00C7">
        <w:rPr>
          <w:i/>
          <w:color w:val="000000"/>
        </w:rPr>
        <w:t>in situ</w:t>
      </w:r>
      <w:r w:rsidRPr="007F00C7">
        <w:rPr>
          <w:color w:val="000000"/>
        </w:rPr>
        <w:t xml:space="preserve"> soil measurements and environmental predictor variables. The hierarchical data structure contains polygons demarcating map units at 1:12000 scale. Each map unit is made up of one to three major components and potentially several minor components. A component is a field-classified soil type with common characteristics. While the components are not mapped, SSURGO reports their proportional contribution to the makeup of a map unit. Each component is also associated with detailed data from its constituent horizons.</w:t>
      </w:r>
    </w:p>
    <w:p w14:paraId="00000047" w14:textId="48F3E1AD" w:rsidR="001527B5" w:rsidRPr="007F00C7" w:rsidRDefault="00000000">
      <w:pPr>
        <w:pBdr>
          <w:top w:val="nil"/>
          <w:left w:val="nil"/>
          <w:bottom w:val="nil"/>
          <w:right w:val="nil"/>
          <w:between w:val="nil"/>
        </w:pBdr>
        <w:spacing w:after="0" w:line="480" w:lineRule="auto"/>
        <w:ind w:firstLine="720"/>
        <w:jc w:val="both"/>
        <w:rPr>
          <w:color w:val="000000"/>
        </w:rPr>
      </w:pPr>
      <w:r w:rsidRPr="007F00C7">
        <w:rPr>
          <w:color w:val="000000"/>
        </w:rPr>
        <w:t>We aggregated horizon-scale data to generate a unique observation per component and aggregated these to map units. We calculated horizon depth–weighted means for available water capacity (AWC, ‘</w:t>
      </w:r>
      <w:proofErr w:type="spellStart"/>
      <w:r w:rsidRPr="007F00C7">
        <w:rPr>
          <w:color w:val="000000"/>
        </w:rPr>
        <w:t>awc_r</w:t>
      </w:r>
      <w:proofErr w:type="spellEnd"/>
      <w:r w:rsidRPr="007F00C7">
        <w:rPr>
          <w:color w:val="000000"/>
        </w:rPr>
        <w:t>’), cation exchange capacity (CEC, ‘</w:t>
      </w:r>
      <w:proofErr w:type="spellStart"/>
      <w:r w:rsidRPr="007F00C7">
        <w:rPr>
          <w:color w:val="000000"/>
        </w:rPr>
        <w:t>cec_r</w:t>
      </w:r>
      <w:proofErr w:type="spellEnd"/>
      <w:r w:rsidRPr="007F00C7">
        <w:rPr>
          <w:color w:val="000000"/>
        </w:rPr>
        <w:t>’), hydraulic conductivity (</w:t>
      </w:r>
      <w:proofErr w:type="spellStart"/>
      <w:r w:rsidRPr="007F00C7">
        <w:rPr>
          <w:color w:val="000000"/>
        </w:rPr>
        <w:t>k</w:t>
      </w:r>
      <w:r w:rsidRPr="007F00C7">
        <w:rPr>
          <w:color w:val="000000"/>
          <w:vertAlign w:val="subscript"/>
        </w:rPr>
        <w:t>sat</w:t>
      </w:r>
      <w:proofErr w:type="spellEnd"/>
      <w:r w:rsidRPr="007F00C7">
        <w:rPr>
          <w:color w:val="000000"/>
        </w:rPr>
        <w:t>, ‘</w:t>
      </w:r>
      <w:proofErr w:type="spellStart"/>
      <w:r w:rsidRPr="007F00C7">
        <w:rPr>
          <w:color w:val="000000"/>
        </w:rPr>
        <w:t>k_sat_r</w:t>
      </w:r>
      <w:proofErr w:type="spellEnd"/>
      <w:r w:rsidRPr="007F00C7">
        <w:rPr>
          <w:color w:val="000000"/>
        </w:rPr>
        <w:t>’), pH (‘</w:t>
      </w:r>
      <w:proofErr w:type="spellStart"/>
      <w:r w:rsidRPr="007F00C7">
        <w:rPr>
          <w:color w:val="000000"/>
        </w:rPr>
        <w:t>ph_r</w:t>
      </w:r>
      <w:proofErr w:type="spellEnd"/>
      <w:r w:rsidRPr="007F00C7">
        <w:rPr>
          <w:color w:val="000000"/>
        </w:rPr>
        <w:t>’), and silt content (‘</w:t>
      </w:r>
      <w:proofErr w:type="spellStart"/>
      <w:r w:rsidRPr="007F00C7">
        <w:rPr>
          <w:color w:val="000000"/>
        </w:rPr>
        <w:t>silt_r</w:t>
      </w:r>
      <w:proofErr w:type="spellEnd"/>
      <w:r w:rsidRPr="007F00C7">
        <w:rPr>
          <w:color w:val="000000"/>
        </w:rPr>
        <w:t>’) in the top 100 cm of soil. We calculated the horizon depth–weighted mean of percent organic matter (OM, ‘</w:t>
      </w:r>
      <w:proofErr w:type="spellStart"/>
      <w:r w:rsidRPr="007F00C7">
        <w:rPr>
          <w:color w:val="000000"/>
        </w:rPr>
        <w:t>om_r</w:t>
      </w:r>
      <w:proofErr w:type="spellEnd"/>
      <w:r w:rsidRPr="007F00C7">
        <w:rPr>
          <w:color w:val="000000"/>
        </w:rPr>
        <w:t xml:space="preserve">’) in the top 30 cm of soil. We took these variables to be independent estimates of soil constraints on tree growth, and the depths to be those in which the selected variables likely exert the strongest biophysiological effect. We then aggregated the component-scale estimates to the map unit, weighting the mean values by the proportional occupancy of each component. We converted the vector data to raster format using the </w:t>
      </w:r>
      <w:r w:rsidRPr="007F00C7">
        <w:rPr>
          <w:i/>
          <w:color w:val="000000"/>
        </w:rPr>
        <w:t>rasterize</w:t>
      </w:r>
      <w:r w:rsidRPr="007F00C7">
        <w:rPr>
          <w:color w:val="000000"/>
        </w:rPr>
        <w:t xml:space="preserve"> function in the R package </w:t>
      </w:r>
      <w:r w:rsidRPr="007F00C7">
        <w:rPr>
          <w:i/>
          <w:color w:val="000000"/>
        </w:rPr>
        <w:t>terra</w:t>
      </w:r>
      <w:r w:rsidRPr="007F00C7">
        <w:rPr>
          <w:color w:val="000000"/>
        </w:rPr>
        <w:t xml:space="preserve"> (</w:t>
      </w:r>
      <w:proofErr w:type="spellStart"/>
      <w:r w:rsidRPr="007F00C7">
        <w:rPr>
          <w:color w:val="000000"/>
        </w:rPr>
        <w:t>Hijmans</w:t>
      </w:r>
      <w:proofErr w:type="spellEnd"/>
      <w:r w:rsidRPr="007F00C7">
        <w:rPr>
          <w:color w:val="000000"/>
        </w:rPr>
        <w:t>, 2024).</w:t>
      </w:r>
    </w:p>
    <w:p w14:paraId="00000048" w14:textId="7B13CB92" w:rsidR="001527B5" w:rsidRPr="007F00C7" w:rsidRDefault="00000000">
      <w:pPr>
        <w:pBdr>
          <w:top w:val="nil"/>
          <w:left w:val="nil"/>
          <w:bottom w:val="nil"/>
          <w:right w:val="nil"/>
          <w:between w:val="nil"/>
        </w:pBdr>
        <w:spacing w:after="0" w:line="480" w:lineRule="auto"/>
        <w:ind w:firstLine="720"/>
        <w:jc w:val="both"/>
        <w:rPr>
          <w:color w:val="000000"/>
        </w:rPr>
      </w:pPr>
      <w:r w:rsidRPr="007F00C7">
        <w:rPr>
          <w:color w:val="000000"/>
        </w:rPr>
        <w:t>We characterized the underlying geological substrate using the Colorado Geological Survey vector database “R-37: Geology and Mineral Resources of Gunnison County, Colorado” (</w:t>
      </w:r>
      <w:proofErr w:type="spellStart"/>
      <w:r w:rsidRPr="007F00C7">
        <w:rPr>
          <w:color w:val="000000"/>
        </w:rPr>
        <w:t>Streufert</w:t>
      </w:r>
      <w:proofErr w:type="spellEnd"/>
      <w:r w:rsidRPr="007F00C7">
        <w:rPr>
          <w:color w:val="000000"/>
        </w:rPr>
        <w:t xml:space="preserve">, 1999). We rasterized the vector database, which had been created </w:t>
      </w:r>
      <w:r w:rsidR="00B33536">
        <w:rPr>
          <w:color w:val="000000"/>
        </w:rPr>
        <w:t>by</w:t>
      </w:r>
      <w:r w:rsidRPr="007F00C7">
        <w:rPr>
          <w:color w:val="000000"/>
        </w:rPr>
        <w:t xml:space="preserve"> digitiz</w:t>
      </w:r>
      <w:r w:rsidR="00B33536">
        <w:rPr>
          <w:color w:val="000000"/>
        </w:rPr>
        <w:t>ing</w:t>
      </w:r>
      <w:r w:rsidRPr="007F00C7">
        <w:rPr>
          <w:color w:val="000000"/>
        </w:rPr>
        <w:t xml:space="preserve"> the original U.S. Geological Survey MI</w:t>
      </w:r>
      <w:r w:rsidR="00F728F1" w:rsidRPr="007F00C7">
        <w:rPr>
          <w:color w:val="000000"/>
        </w:rPr>
        <w:t>-1</w:t>
      </w:r>
      <w:r w:rsidRPr="007F00C7">
        <w:rPr>
          <w:color w:val="000000"/>
        </w:rPr>
        <w:t>6 Geologic Map of Colorado</w:t>
      </w:r>
      <w:r w:rsidR="00305548">
        <w:rPr>
          <w:color w:val="000000"/>
        </w:rPr>
        <w:t xml:space="preserve"> </w:t>
      </w:r>
      <w:r w:rsidRPr="007F00C7">
        <w:rPr>
          <w:color w:val="000000"/>
        </w:rPr>
        <w:t>(</w:t>
      </w:r>
      <w:proofErr w:type="spellStart"/>
      <w:r w:rsidRPr="007F00C7">
        <w:rPr>
          <w:color w:val="000000"/>
        </w:rPr>
        <w:t>Tweto</w:t>
      </w:r>
      <w:proofErr w:type="spellEnd"/>
      <w:r w:rsidRPr="007F00C7">
        <w:rPr>
          <w:color w:val="000000"/>
        </w:rPr>
        <w:t>, 1979).</w:t>
      </w:r>
    </w:p>
    <w:p w14:paraId="00000049" w14:textId="77777777" w:rsidR="001527B5" w:rsidRPr="007F00C7" w:rsidRDefault="00000000">
      <w:pPr>
        <w:pStyle w:val="Heading2"/>
        <w:rPr>
          <w:rFonts w:ascii="Times New Roman" w:hAnsi="Times New Roman" w:cs="Times New Roman"/>
        </w:rPr>
      </w:pPr>
      <w:bookmarkStart w:id="18" w:name="bookmark=id.z337ya" w:colFirst="0" w:colLast="0"/>
      <w:bookmarkEnd w:id="18"/>
      <w:r w:rsidRPr="007F00C7">
        <w:rPr>
          <w:rFonts w:ascii="Times New Roman" w:hAnsi="Times New Roman" w:cs="Times New Roman"/>
        </w:rPr>
        <w:lastRenderedPageBreak/>
        <w:t>2.6. Inferential modeling</w:t>
      </w:r>
    </w:p>
    <w:p w14:paraId="0000004A" w14:textId="274954A7" w:rsidR="001527B5" w:rsidRPr="007F00C7" w:rsidRDefault="00000000">
      <w:pPr>
        <w:pBdr>
          <w:top w:val="nil"/>
          <w:left w:val="nil"/>
          <w:bottom w:val="nil"/>
          <w:right w:val="nil"/>
          <w:between w:val="nil"/>
        </w:pBdr>
        <w:spacing w:after="0" w:line="480" w:lineRule="auto"/>
        <w:ind w:firstLine="720"/>
        <w:jc w:val="both"/>
        <w:rPr>
          <w:color w:val="000000"/>
        </w:rPr>
      </w:pPr>
      <w:r w:rsidRPr="007F00C7">
        <w:rPr>
          <w:color w:val="000000"/>
        </w:rPr>
        <w:t>To quantify relationships between stand structur</w:t>
      </w:r>
      <w:r w:rsidR="00EB0C2B" w:rsidRPr="007F00C7">
        <w:rPr>
          <w:color w:val="000000"/>
        </w:rPr>
        <w:t>al and compositional</w:t>
      </w:r>
      <w:r w:rsidRPr="007F00C7">
        <w:rPr>
          <w:color w:val="000000"/>
        </w:rPr>
        <w:t xml:space="preserve"> metrics and abiotic variables, we fit generalized additive models (GAM) and generalized boosted models (GBM). All explanatory data were first (dis-)aggregated to the 100 m pixel scale and aligned to a uniform grid using bilinear interpolation (continuous) and nearest-neighbor resampling (categorical). Because of expected spatial autocorrelation in both response and explanatory variables, we also included a tensor product smooth of </w:t>
      </w:r>
      <w:r w:rsidR="00EE2B85">
        <w:rPr>
          <w:i/>
          <w:iCs/>
          <w:color w:val="000000"/>
        </w:rPr>
        <w:t>x</w:t>
      </w:r>
      <w:r w:rsidRPr="007F00C7">
        <w:rPr>
          <w:color w:val="000000"/>
        </w:rPr>
        <w:t xml:space="preserve"> and </w:t>
      </w:r>
      <w:r w:rsidR="00EE2B85">
        <w:rPr>
          <w:i/>
          <w:iCs/>
          <w:color w:val="000000"/>
        </w:rPr>
        <w:t>y</w:t>
      </w:r>
      <w:r w:rsidRPr="007F00C7">
        <w:rPr>
          <w:color w:val="000000"/>
        </w:rPr>
        <w:t xml:space="preserve"> pixel coordinates in all models.</w:t>
      </w:r>
    </w:p>
    <w:p w14:paraId="0000004B" w14:textId="7C82D6CC" w:rsidR="001527B5" w:rsidRPr="007F00C7" w:rsidRDefault="00000000">
      <w:pPr>
        <w:pBdr>
          <w:top w:val="nil"/>
          <w:left w:val="nil"/>
          <w:bottom w:val="nil"/>
          <w:right w:val="nil"/>
          <w:between w:val="nil"/>
        </w:pBdr>
        <w:spacing w:after="0" w:line="480" w:lineRule="auto"/>
        <w:ind w:firstLine="720"/>
        <w:jc w:val="both"/>
        <w:rPr>
          <w:color w:val="000000"/>
        </w:rPr>
      </w:pPr>
      <w:r w:rsidRPr="007F00C7">
        <w:rPr>
          <w:color w:val="000000"/>
        </w:rPr>
        <w:t xml:space="preserve">In the GAM approach, we estimated each structural metric as the sum of nonlinear spline functions of the explanatory variables, using the </w:t>
      </w:r>
      <w:r w:rsidRPr="007F00C7">
        <w:rPr>
          <w:i/>
          <w:color w:val="000000"/>
        </w:rPr>
        <w:t>gam</w:t>
      </w:r>
      <w:r w:rsidRPr="007F00C7">
        <w:rPr>
          <w:color w:val="000000"/>
        </w:rPr>
        <w:t xml:space="preserve"> method in R’s package </w:t>
      </w:r>
      <w:proofErr w:type="spellStart"/>
      <w:r w:rsidRPr="007F00C7">
        <w:rPr>
          <w:i/>
          <w:color w:val="000000"/>
        </w:rPr>
        <w:t>mgcv</w:t>
      </w:r>
      <w:proofErr w:type="spellEnd"/>
      <w:r w:rsidRPr="007F00C7">
        <w:rPr>
          <w:color w:val="000000"/>
        </w:rPr>
        <w:t xml:space="preserve"> (Wood, 2017). We examined the main effects of each explanatory variable, along with two-way interactions between a subset of variables (Table </w:t>
      </w:r>
      <w:r w:rsidR="008E0839">
        <w:rPr>
          <w:color w:val="000000"/>
        </w:rPr>
        <w:t>A.</w:t>
      </w:r>
      <w:r w:rsidRPr="007F00C7">
        <w:rPr>
          <w:color w:val="000000"/>
        </w:rPr>
        <w:t xml:space="preserve">7). In the GBM approach, we used the stochastic gradient boosting framework in R’s </w:t>
      </w:r>
      <w:r w:rsidRPr="007F00C7">
        <w:rPr>
          <w:i/>
          <w:color w:val="000000"/>
        </w:rPr>
        <w:t>caret</w:t>
      </w:r>
      <w:r w:rsidRPr="007F00C7">
        <w:rPr>
          <w:color w:val="000000"/>
        </w:rPr>
        <w:t xml:space="preserve"> and </w:t>
      </w:r>
      <w:proofErr w:type="spellStart"/>
      <w:r w:rsidRPr="007F00C7">
        <w:rPr>
          <w:i/>
          <w:color w:val="000000"/>
        </w:rPr>
        <w:t>gbm</w:t>
      </w:r>
      <w:proofErr w:type="spellEnd"/>
      <w:r w:rsidRPr="007F00C7">
        <w:rPr>
          <w:color w:val="000000"/>
        </w:rPr>
        <w:t xml:space="preserve"> libraries (Kuhn, 2008; Ridgeway, 2024). We estimated variable influence by multiplying the number of times a variable was selected for splitting by the squared increase in deviance explained at each split, and then averaging this value over the ensemble of decision trees. We pursued both approaches in tandem because of their complementary strengths. The GAM strategy allowed us to interpret partial-effects functions for individual and interacting explanatory variables. While partial-dependence plots can be constructed from the GBM, their interpretability is usually limited, especially when variable interactions exist (</w:t>
      </w:r>
      <w:proofErr w:type="spellStart"/>
      <w:r w:rsidRPr="007F00C7">
        <w:rPr>
          <w:color w:val="000000"/>
        </w:rPr>
        <w:t>Elith</w:t>
      </w:r>
      <w:proofErr w:type="spellEnd"/>
      <w:r w:rsidRPr="007F00C7">
        <w:rPr>
          <w:color w:val="000000"/>
        </w:rPr>
        <w:t xml:space="preserve"> et al., 2008; Friedman and </w:t>
      </w:r>
      <w:proofErr w:type="spellStart"/>
      <w:r w:rsidRPr="007F00C7">
        <w:rPr>
          <w:color w:val="000000"/>
        </w:rPr>
        <w:t>Meulman</w:t>
      </w:r>
      <w:proofErr w:type="spellEnd"/>
      <w:r w:rsidRPr="007F00C7">
        <w:rPr>
          <w:color w:val="000000"/>
        </w:rPr>
        <w:t>, 2003). On the other hand, the GBM allowed us to quantify feature importance, which can be difficult to achieve with the GAM. We assumed that convergence between inferential strategies would give us greater confidence in the results, while divergence could provide points of departure for further investigation.</w:t>
      </w:r>
    </w:p>
    <w:p w14:paraId="0000004C" w14:textId="77777777" w:rsidR="001527B5" w:rsidRPr="007F00C7" w:rsidRDefault="00000000">
      <w:pPr>
        <w:pBdr>
          <w:top w:val="nil"/>
          <w:left w:val="nil"/>
          <w:bottom w:val="nil"/>
          <w:right w:val="nil"/>
          <w:between w:val="nil"/>
        </w:pBdr>
        <w:spacing w:after="0" w:line="480" w:lineRule="auto"/>
        <w:ind w:firstLine="720"/>
        <w:jc w:val="both"/>
        <w:rPr>
          <w:color w:val="000000"/>
        </w:rPr>
      </w:pPr>
      <w:r w:rsidRPr="007F00C7">
        <w:rPr>
          <w:color w:val="000000"/>
        </w:rPr>
        <w:lastRenderedPageBreak/>
        <w:t xml:space="preserve">We initially explored a large set of potential explanatory variables and interactions and used these to estimate a preliminary run of GAMs for variable screening. We identified pairs of variables with an absolute-value Pearson’s correlation coefficient </w:t>
      </w:r>
      <m:oMath>
        <m:r>
          <w:rPr>
            <w:rFonts w:ascii="Cambria Math" w:hAnsi="Cambria Math"/>
          </w:rPr>
          <m:t>≥</m:t>
        </m:r>
      </m:oMath>
      <w:r w:rsidRPr="007F00C7">
        <w:rPr>
          <w:color w:val="000000"/>
        </w:rPr>
        <w:t xml:space="preserve"> 0.7 and iteratively dropped highly correlated variables from the models, computing the Akaike Information Criterion (AIC) score at each step. We preserved the feature sets that produced the lowest AIC and fitted final GAMs. We used the restricted maximum likelihood estimator (REML) to select smoothing parameters, because it tends to be less prone to overfitting than generalized cross-validation (GCV) (Wood et al. 2023), and we implemented double-penalty regularization for feature selection by specifying ‘select=TRUE’ in the </w:t>
      </w:r>
      <w:proofErr w:type="spellStart"/>
      <w:r w:rsidRPr="007F00C7">
        <w:rPr>
          <w:i/>
          <w:color w:val="000000"/>
        </w:rPr>
        <w:t>mgcv</w:t>
      </w:r>
      <w:proofErr w:type="spellEnd"/>
      <w:r w:rsidRPr="007F00C7">
        <w:rPr>
          <w:color w:val="000000"/>
        </w:rPr>
        <w:t xml:space="preserve"> specification. This applied an additional shrinkage penalty to each smooth, allowing terms flattened into the null space of the original REML penalty to be removed (</w:t>
      </w:r>
      <w:proofErr w:type="spellStart"/>
      <w:r w:rsidRPr="007F00C7">
        <w:rPr>
          <w:color w:val="000000"/>
        </w:rPr>
        <w:t>Marra</w:t>
      </w:r>
      <w:proofErr w:type="spellEnd"/>
      <w:r w:rsidRPr="007F00C7">
        <w:rPr>
          <w:color w:val="000000"/>
        </w:rPr>
        <w:t xml:space="preserve"> and Wood 2011).</w:t>
      </w:r>
    </w:p>
    <w:p w14:paraId="0000004D" w14:textId="77777777" w:rsidR="001527B5" w:rsidRPr="007F00C7" w:rsidRDefault="00000000">
      <w:pPr>
        <w:pBdr>
          <w:top w:val="nil"/>
          <w:left w:val="nil"/>
          <w:bottom w:val="nil"/>
          <w:right w:val="nil"/>
          <w:between w:val="nil"/>
        </w:pBdr>
        <w:spacing w:after="0" w:line="480" w:lineRule="auto"/>
        <w:ind w:firstLine="720"/>
        <w:jc w:val="both"/>
        <w:rPr>
          <w:color w:val="000000"/>
        </w:rPr>
      </w:pPr>
      <w:r w:rsidRPr="007F00C7">
        <w:rPr>
          <w:color w:val="000000"/>
        </w:rPr>
        <w:t>We then fitted GBMs to each response variable using the same response distributions as in the final GAMs. We did not apply regularization in the GBMs, and we allowed interaction depth to vary rather than specifying two-way interactions. We estimated GBM parameters through a full factorial design with 10-fold cross validation. The design matrix randomized interaction depth (1 to 5 features), number of decision trees (2000 to 10,000 trees in increments of 2000), and shrinkage rate (0.1 to 0.01 in increments of 0.02).</w:t>
      </w:r>
    </w:p>
    <w:p w14:paraId="0000004E" w14:textId="77777777" w:rsidR="001527B5" w:rsidRPr="007F00C7" w:rsidRDefault="00000000">
      <w:pPr>
        <w:pStyle w:val="Heading1"/>
        <w:rPr>
          <w:rFonts w:ascii="Times New Roman" w:hAnsi="Times New Roman" w:cs="Times New Roman"/>
        </w:rPr>
      </w:pPr>
      <w:bookmarkStart w:id="19" w:name="bookmark=id.3j2qqm3" w:colFirst="0" w:colLast="0"/>
      <w:bookmarkEnd w:id="19"/>
      <w:r w:rsidRPr="007F00C7">
        <w:rPr>
          <w:rFonts w:ascii="Times New Roman" w:hAnsi="Times New Roman" w:cs="Times New Roman"/>
        </w:rPr>
        <w:t>3. Results</w:t>
      </w:r>
    </w:p>
    <w:p w14:paraId="0000004F" w14:textId="77777777" w:rsidR="001527B5" w:rsidRPr="007F00C7" w:rsidRDefault="00000000">
      <w:pPr>
        <w:pStyle w:val="Heading2"/>
        <w:rPr>
          <w:rFonts w:ascii="Times New Roman" w:hAnsi="Times New Roman" w:cs="Times New Roman"/>
        </w:rPr>
      </w:pPr>
      <w:bookmarkStart w:id="20" w:name="bookmark=id.1y810tw" w:colFirst="0" w:colLast="0"/>
      <w:bookmarkEnd w:id="20"/>
      <w:r w:rsidRPr="007F00C7">
        <w:rPr>
          <w:rFonts w:ascii="Times New Roman" w:hAnsi="Times New Roman" w:cs="Times New Roman"/>
        </w:rPr>
        <w:t>3.1. LiDAR vs. field inventory</w:t>
      </w:r>
    </w:p>
    <w:p w14:paraId="00000050" w14:textId="07C781EB" w:rsidR="001527B5" w:rsidRPr="007F00C7" w:rsidRDefault="00000000">
      <w:pPr>
        <w:pBdr>
          <w:top w:val="nil"/>
          <w:left w:val="nil"/>
          <w:bottom w:val="nil"/>
          <w:right w:val="nil"/>
          <w:between w:val="nil"/>
        </w:pBdr>
        <w:spacing w:after="0" w:line="480" w:lineRule="auto"/>
        <w:ind w:firstLine="720"/>
        <w:jc w:val="both"/>
        <w:rPr>
          <w:color w:val="000000"/>
        </w:rPr>
      </w:pPr>
      <w:r w:rsidRPr="007F00C7">
        <w:rPr>
          <w:color w:val="000000"/>
        </w:rPr>
        <w:t xml:space="preserve">The optimal Layer Stacking algorithm extracted 4196 trees across the 17 plots (Table 1). Of these, 55 </w:t>
      </w:r>
      <w:r w:rsidR="007A5C35">
        <w:rPr>
          <w:color w:val="000000"/>
        </w:rPr>
        <w:t>%</w:t>
      </w:r>
      <w:r w:rsidRPr="007F00C7">
        <w:rPr>
          <w:color w:val="000000"/>
        </w:rPr>
        <w:t xml:space="preserve"> were successfully matched to field trees (Fig. 2). The </w:t>
      </w:r>
      <w:r w:rsidR="002032FA" w:rsidRPr="007F00C7">
        <w:rPr>
          <w:color w:val="000000"/>
        </w:rPr>
        <w:t xml:space="preserve">RMS </w:t>
      </w:r>
      <w:r w:rsidRPr="007F00C7">
        <w:rPr>
          <w:color w:val="000000"/>
        </w:rPr>
        <w:t xml:space="preserve">distance between matched trees was 2.45 m in the horizontal dimension and 1.46 m in the vertical dimension. </w:t>
      </w:r>
      <w:r w:rsidRPr="007F00C7">
        <w:rPr>
          <w:color w:val="000000"/>
        </w:rPr>
        <w:lastRenderedPageBreak/>
        <w:t xml:space="preserve">Agreement was strong across all size classes. </w:t>
      </w:r>
      <w:proofErr w:type="spellStart"/>
      <w:r w:rsidRPr="007F00C7">
        <w:rPr>
          <w:color w:val="000000"/>
        </w:rPr>
        <w:t>Underdetection</w:t>
      </w:r>
      <w:proofErr w:type="spellEnd"/>
      <w:r w:rsidRPr="007F00C7">
        <w:rPr>
          <w:color w:val="000000"/>
        </w:rPr>
        <w:t xml:space="preserve"> and undermatching were most prevalent in trees below 8 m in height, while some </w:t>
      </w:r>
      <w:proofErr w:type="spellStart"/>
      <w:r w:rsidRPr="007F00C7">
        <w:rPr>
          <w:color w:val="000000"/>
        </w:rPr>
        <w:t>overdetection</w:t>
      </w:r>
      <w:proofErr w:type="spellEnd"/>
      <w:r w:rsidRPr="007F00C7">
        <w:rPr>
          <w:color w:val="000000"/>
        </w:rPr>
        <w:t xml:space="preserve"> occurred in canopy-intermediate trees, between 15 m and 20 m in height (Fig. 3).</w:t>
      </w:r>
    </w:p>
    <w:p w14:paraId="00000051" w14:textId="77777777" w:rsidR="001527B5" w:rsidRPr="007F00C7" w:rsidRDefault="00000000">
      <w:pPr>
        <w:pBdr>
          <w:top w:val="nil"/>
          <w:left w:val="nil"/>
          <w:bottom w:val="nil"/>
          <w:right w:val="nil"/>
          <w:between w:val="nil"/>
        </w:pBdr>
        <w:spacing w:after="0" w:line="480" w:lineRule="auto"/>
        <w:ind w:firstLine="720"/>
        <w:jc w:val="both"/>
        <w:rPr>
          <w:color w:val="000000"/>
        </w:rPr>
      </w:pPr>
      <w:r w:rsidRPr="007F00C7">
        <w:rPr>
          <w:color w:val="000000"/>
        </w:rPr>
        <w:t>The median height of all trees detected in training was 8.8 m (IQR: 3.1–15.1 m), versus 6.7 m (IQR: 2.8–13.1 m) in the field inventory. Maximum canopy height, estimated at the 95th percentile, was 24.4 m in detected trees versus 23.8 m in field inventory. Estimated QMD of detected trees was 20.7 cm (</w:t>
      </w:r>
      <w:proofErr w:type="spellStart"/>
      <w:r w:rsidRPr="007F00C7">
        <w:rPr>
          <w:color w:val="000000"/>
        </w:rPr>
        <w:t>s.d.</w:t>
      </w:r>
      <w:proofErr w:type="spellEnd"/>
      <w:r w:rsidRPr="007F00C7">
        <w:rPr>
          <w:color w:val="000000"/>
        </w:rPr>
        <w:t xml:space="preserve"> 13.6 cm), versus 18.6 cm (</w:t>
      </w:r>
      <w:proofErr w:type="spellStart"/>
      <w:r w:rsidRPr="007F00C7">
        <w:rPr>
          <w:color w:val="000000"/>
        </w:rPr>
        <w:t>s.d.</w:t>
      </w:r>
      <w:proofErr w:type="spellEnd"/>
      <w:r w:rsidRPr="007F00C7">
        <w:rPr>
          <w:color w:val="000000"/>
        </w:rPr>
        <w:t xml:space="preserve"> 12.7 cm) measured in the field. Agreement was strongest in higher-density, uneven-aged sites (i.e., where median height was smaller), and poorer in sites with lower density or a paucity of understory trees (Fig. 3).</w:t>
      </w:r>
    </w:p>
    <w:p w14:paraId="00000052" w14:textId="77777777" w:rsidR="001527B5" w:rsidRPr="007F00C7" w:rsidRDefault="00000000">
      <w:pPr>
        <w:pBdr>
          <w:top w:val="nil"/>
          <w:left w:val="nil"/>
          <w:bottom w:val="nil"/>
          <w:right w:val="nil"/>
          <w:between w:val="nil"/>
        </w:pBdr>
        <w:spacing w:after="0" w:line="480" w:lineRule="auto"/>
        <w:ind w:firstLine="720"/>
        <w:jc w:val="both"/>
        <w:rPr>
          <w:color w:val="000000"/>
        </w:rPr>
      </w:pPr>
      <w:r w:rsidRPr="007F00C7">
        <w:rPr>
          <w:color w:val="000000"/>
        </w:rPr>
        <w:t xml:space="preserve">For composition, we compared species classifications for top-of-canopy tree objects with their matched field trees. Across species, overall classification accuracy was 0.73 and mean </w:t>
      </w:r>
      <w:r w:rsidRPr="007F00C7">
        <w:rPr>
          <w:i/>
          <w:color w:val="000000"/>
        </w:rPr>
        <w:t>F1</w:t>
      </w:r>
      <w:r w:rsidRPr="007F00C7">
        <w:rPr>
          <w:color w:val="000000"/>
        </w:rPr>
        <w:t xml:space="preserve"> was 0.62. Per-species performance in this independent sample was </w:t>
      </w:r>
      <w:proofErr w:type="gramStart"/>
      <w:r w:rsidRPr="007F00C7">
        <w:rPr>
          <w:color w:val="000000"/>
        </w:rPr>
        <w:t>similar to</w:t>
      </w:r>
      <w:proofErr w:type="gramEnd"/>
      <w:r w:rsidRPr="007F00C7">
        <w:rPr>
          <w:color w:val="000000"/>
        </w:rPr>
        <w:t xml:space="preserve"> but not as strong as the performance that Falco et al. (2024b) achieved in generating the species classification product, where mean </w:t>
      </w:r>
      <w:r w:rsidRPr="007F00C7">
        <w:rPr>
          <w:i/>
          <w:color w:val="000000"/>
        </w:rPr>
        <w:t>F1</w:t>
      </w:r>
      <w:r w:rsidRPr="007F00C7">
        <w:rPr>
          <w:color w:val="000000"/>
        </w:rPr>
        <w:t xml:space="preserve"> for tree species was 0.87 (Table 2).</w:t>
      </w:r>
    </w:p>
    <w:p w14:paraId="00000053" w14:textId="77777777" w:rsidR="001527B5" w:rsidRPr="007F00C7" w:rsidRDefault="00000000">
      <w:pPr>
        <w:pStyle w:val="Heading2"/>
        <w:rPr>
          <w:rFonts w:ascii="Times New Roman" w:hAnsi="Times New Roman" w:cs="Times New Roman"/>
        </w:rPr>
      </w:pPr>
      <w:bookmarkStart w:id="21" w:name="bookmark=id.4i7ojhp" w:colFirst="0" w:colLast="0"/>
      <w:bookmarkEnd w:id="21"/>
      <w:r w:rsidRPr="007F00C7">
        <w:rPr>
          <w:rFonts w:ascii="Times New Roman" w:hAnsi="Times New Roman" w:cs="Times New Roman"/>
        </w:rPr>
        <w:t>3.2 Domain-wide structure and composition</w:t>
      </w:r>
    </w:p>
    <w:p w14:paraId="00000054" w14:textId="133540A2" w:rsidR="001527B5" w:rsidRPr="007F00C7" w:rsidRDefault="00000000">
      <w:pPr>
        <w:pBdr>
          <w:top w:val="nil"/>
          <w:left w:val="nil"/>
          <w:bottom w:val="nil"/>
          <w:right w:val="nil"/>
          <w:between w:val="nil"/>
        </w:pBdr>
        <w:spacing w:after="0" w:line="480" w:lineRule="auto"/>
        <w:ind w:firstLine="720"/>
        <w:jc w:val="both"/>
        <w:rPr>
          <w:color w:val="000000"/>
        </w:rPr>
      </w:pPr>
      <w:r w:rsidRPr="007F00C7">
        <w:rPr>
          <w:color w:val="000000"/>
        </w:rPr>
        <w:t>Applying the optimal ITD algorithm and parameters to</w:t>
      </w:r>
      <w:r w:rsidR="005036AD" w:rsidRPr="007F00C7">
        <w:rPr>
          <w:color w:val="000000"/>
        </w:rPr>
        <w:t xml:space="preserve"> the domain’s</w:t>
      </w:r>
      <w:r w:rsidRPr="007F00C7">
        <w:rPr>
          <w:color w:val="000000"/>
        </w:rPr>
        <w:t xml:space="preserve"> conifer </w:t>
      </w:r>
      <w:r w:rsidR="005036AD" w:rsidRPr="007F00C7">
        <w:rPr>
          <w:color w:val="000000"/>
        </w:rPr>
        <w:t xml:space="preserve">forests </w:t>
      </w:r>
      <w:r w:rsidRPr="007F00C7">
        <w:rPr>
          <w:color w:val="000000"/>
        </w:rPr>
        <w:t xml:space="preserve">produced 2.375 </w:t>
      </w:r>
      <m:oMath>
        <m:r>
          <w:rPr>
            <w:rFonts w:ascii="Cambria Math" w:hAnsi="Cambria Math"/>
          </w:rPr>
          <m:t>×</m:t>
        </m:r>
      </m:oMath>
      <w:r w:rsidRPr="007F00C7">
        <w:rPr>
          <w:color w:val="000000"/>
        </w:rPr>
        <w:t xml:space="preserve"> 10</w:t>
      </w:r>
      <w:r w:rsidRPr="007F00C7">
        <w:rPr>
          <w:color w:val="000000"/>
          <w:vertAlign w:val="superscript"/>
        </w:rPr>
        <w:t>7</w:t>
      </w:r>
      <w:r w:rsidRPr="007F00C7">
        <w:rPr>
          <w:color w:val="000000"/>
        </w:rPr>
        <w:t xml:space="preserve"> individual trees. Based on </w:t>
      </w:r>
      <w:proofErr w:type="spellStart"/>
      <w:r w:rsidRPr="007F00C7">
        <w:rPr>
          <w:color w:val="000000"/>
        </w:rPr>
        <w:t>underdetection</w:t>
      </w:r>
      <w:proofErr w:type="spellEnd"/>
      <w:r w:rsidRPr="007F00C7">
        <w:rPr>
          <w:color w:val="000000"/>
        </w:rPr>
        <w:t xml:space="preserve"> patterns in training, we assumed that the total was a modest underestimate. We applied a correction to this value by binning plot-level data into 1</w:t>
      </w:r>
      <w:r w:rsidR="005036AD" w:rsidRPr="007F00C7">
        <w:rPr>
          <w:color w:val="000000"/>
        </w:rPr>
        <w:t xml:space="preserve"> </w:t>
      </w:r>
      <w:r w:rsidRPr="007F00C7">
        <w:rPr>
          <w:color w:val="000000"/>
        </w:rPr>
        <w:t xml:space="preserve">m height increments and computing the difference in frequency of occurrence per bin between field-observed and LiDAR-detected trees. We performed the same binning on detected trees for the full domain and scaled the number of trees per bin in this dataset by the plot-level frequency differentials (Fig. 4). The corrected estimate of the total number of conifer trees was 2.392 </w:t>
      </w:r>
      <m:oMath>
        <m:r>
          <w:rPr>
            <w:rFonts w:ascii="Cambria Math" w:hAnsi="Cambria Math"/>
          </w:rPr>
          <m:t>×</m:t>
        </m:r>
      </m:oMath>
      <w:r w:rsidRPr="007F00C7">
        <w:rPr>
          <w:color w:val="000000"/>
        </w:rPr>
        <w:t xml:space="preserve"> 10</w:t>
      </w:r>
      <w:r w:rsidRPr="007F00C7">
        <w:rPr>
          <w:color w:val="000000"/>
          <w:vertAlign w:val="superscript"/>
        </w:rPr>
        <w:t>7</w:t>
      </w:r>
      <w:r w:rsidRPr="007F00C7">
        <w:rPr>
          <w:color w:val="000000"/>
        </w:rPr>
        <w:t>. Stand densities ranged from 100 to 2041 stems ha</w:t>
      </w:r>
      <w:r w:rsidR="00F728F1" w:rsidRPr="007F00C7">
        <w:rPr>
          <w:color w:val="000000"/>
          <w:vertAlign w:val="superscript"/>
        </w:rPr>
        <w:t>–1</w:t>
      </w:r>
      <w:r w:rsidR="008D2DB5">
        <w:rPr>
          <w:color w:val="000000"/>
        </w:rPr>
        <w:t xml:space="preserve"> </w:t>
      </w:r>
      <w:r w:rsidR="008D2DB5" w:rsidRPr="007F00C7">
        <w:rPr>
          <w:color w:val="000000"/>
        </w:rPr>
        <w:t>(Fig. 5</w:t>
      </w:r>
      <w:r w:rsidR="00A03DE9">
        <w:rPr>
          <w:color w:val="000000"/>
        </w:rPr>
        <w:t>; Fig. 6</w:t>
      </w:r>
      <w:r w:rsidR="008D2DB5" w:rsidRPr="007F00C7">
        <w:rPr>
          <w:color w:val="000000"/>
        </w:rPr>
        <w:t>)</w:t>
      </w:r>
      <w:r w:rsidR="008D2DB5">
        <w:rPr>
          <w:color w:val="000000"/>
        </w:rPr>
        <w:t>.</w:t>
      </w:r>
      <w:r w:rsidRPr="007F00C7">
        <w:rPr>
          <w:color w:val="000000"/>
        </w:rPr>
        <w:t xml:space="preserve"> The median </w:t>
      </w:r>
      <w:r w:rsidRPr="007F00C7">
        <w:rPr>
          <w:color w:val="000000"/>
        </w:rPr>
        <w:lastRenderedPageBreak/>
        <w:t xml:space="preserve">height of all LiDAR-detected trees in the watershed was 4.8 m, and 95th percentile height was 21.7 m. Height skewness ranged from </w:t>
      </w:r>
      <w:r w:rsidR="00D175AB" w:rsidRPr="007F00C7">
        <w:rPr>
          <w:color w:val="000000"/>
        </w:rPr>
        <w:t>–</w:t>
      </w:r>
      <w:r w:rsidRPr="007F00C7">
        <w:rPr>
          <w:color w:val="000000"/>
        </w:rPr>
        <w:t>1.8 to 8.8; allometry-estimated QMD was 17.0 cm (</w:t>
      </w:r>
      <w:proofErr w:type="spellStart"/>
      <w:r w:rsidRPr="007F00C7">
        <w:rPr>
          <w:color w:val="000000"/>
        </w:rPr>
        <w:t>s.d.</w:t>
      </w:r>
      <w:proofErr w:type="spellEnd"/>
      <w:r w:rsidRPr="007F00C7">
        <w:rPr>
          <w:color w:val="000000"/>
        </w:rPr>
        <w:t xml:space="preserve"> 8.3 cm); and basal area ranged from 0.03 to 248.8 m</w:t>
      </w:r>
      <w:r w:rsidRPr="007F00C7">
        <w:rPr>
          <w:color w:val="000000"/>
          <w:vertAlign w:val="superscript"/>
        </w:rPr>
        <w:t>2</w:t>
      </w:r>
      <w:r w:rsidRPr="007F00C7">
        <w:rPr>
          <w:color w:val="000000"/>
        </w:rPr>
        <w:t xml:space="preserve"> ha</w:t>
      </w:r>
      <w:r w:rsidR="00D175AB" w:rsidRPr="007F00C7">
        <w:rPr>
          <w:color w:val="000000"/>
          <w:vertAlign w:val="superscript"/>
        </w:rPr>
        <w:t>–</w:t>
      </w:r>
      <w:r w:rsidRPr="007F00C7">
        <w:rPr>
          <w:color w:val="000000"/>
          <w:vertAlign w:val="superscript"/>
        </w:rPr>
        <w:t>1</w:t>
      </w:r>
      <w:r w:rsidRPr="007F00C7">
        <w:rPr>
          <w:color w:val="000000"/>
        </w:rPr>
        <w:t xml:space="preserve"> (Fig. 6).</w:t>
      </w:r>
    </w:p>
    <w:p w14:paraId="00000055" w14:textId="58A499EB" w:rsidR="001527B5" w:rsidRPr="007F00C7" w:rsidRDefault="00000000">
      <w:pPr>
        <w:pBdr>
          <w:top w:val="nil"/>
          <w:left w:val="nil"/>
          <w:bottom w:val="nil"/>
          <w:right w:val="nil"/>
          <w:between w:val="nil"/>
        </w:pBdr>
        <w:spacing w:after="0" w:line="480" w:lineRule="auto"/>
        <w:ind w:firstLine="720"/>
        <w:jc w:val="both"/>
        <w:rPr>
          <w:color w:val="000000"/>
        </w:rPr>
      </w:pPr>
      <w:r w:rsidRPr="007F00C7">
        <w:rPr>
          <w:color w:val="000000"/>
        </w:rPr>
        <w:t xml:space="preserve">The spatial distributions of spruce and fir densities were similar, although their maximum densities differed by a factor of two (Fig. 5). (N.B.: the order of magnitude difference between these values and total density is largely a result of filtering to top-of-canopy tree objects during species assignment). </w:t>
      </w:r>
      <w:r w:rsidR="00A03DE9">
        <w:rPr>
          <w:color w:val="000000"/>
        </w:rPr>
        <w:t>Lodgepole p</w:t>
      </w:r>
      <w:r w:rsidRPr="007F00C7">
        <w:rPr>
          <w:color w:val="000000"/>
        </w:rPr>
        <w:t>ine density ranged from 2 to 283 stems ha</w:t>
      </w:r>
      <w:r w:rsidR="00F728F1" w:rsidRPr="007F00C7">
        <w:rPr>
          <w:color w:val="000000"/>
          <w:vertAlign w:val="superscript"/>
        </w:rPr>
        <w:t>–1</w:t>
      </w:r>
      <w:r w:rsidRPr="007F00C7">
        <w:rPr>
          <w:color w:val="000000"/>
        </w:rPr>
        <w:t>, concentrated on low-elevation slopes in the southern portion of the domain.</w:t>
      </w:r>
    </w:p>
    <w:p w14:paraId="00000056" w14:textId="77777777" w:rsidR="001527B5" w:rsidRPr="007F00C7" w:rsidRDefault="00000000">
      <w:pPr>
        <w:pStyle w:val="Heading2"/>
        <w:rPr>
          <w:rFonts w:ascii="Times New Roman" w:hAnsi="Times New Roman" w:cs="Times New Roman"/>
        </w:rPr>
      </w:pPr>
      <w:bookmarkStart w:id="22" w:name="bookmark=id.2xcytpi" w:colFirst="0" w:colLast="0"/>
      <w:bookmarkEnd w:id="22"/>
      <w:r w:rsidRPr="007F00C7">
        <w:rPr>
          <w:rFonts w:ascii="Times New Roman" w:hAnsi="Times New Roman" w:cs="Times New Roman"/>
        </w:rPr>
        <w:t xml:space="preserve">3.3 Abiotic factors associated with stand </w:t>
      </w:r>
      <w:proofErr w:type="gramStart"/>
      <w:r w:rsidRPr="007F00C7">
        <w:rPr>
          <w:rFonts w:ascii="Times New Roman" w:hAnsi="Times New Roman" w:cs="Times New Roman"/>
        </w:rPr>
        <w:t>structure</w:t>
      </w:r>
      <w:proofErr w:type="gramEnd"/>
    </w:p>
    <w:p w14:paraId="00000057" w14:textId="1044249A" w:rsidR="001527B5" w:rsidRPr="007F00C7" w:rsidRDefault="00000000">
      <w:pPr>
        <w:pBdr>
          <w:top w:val="nil"/>
          <w:left w:val="nil"/>
          <w:bottom w:val="nil"/>
          <w:right w:val="nil"/>
          <w:between w:val="nil"/>
        </w:pBdr>
        <w:spacing w:after="0" w:line="480" w:lineRule="auto"/>
        <w:ind w:firstLine="720"/>
        <w:jc w:val="both"/>
        <w:rPr>
          <w:color w:val="000000"/>
        </w:rPr>
      </w:pPr>
      <w:r w:rsidRPr="007F00C7">
        <w:rPr>
          <w:color w:val="000000"/>
        </w:rPr>
        <w:t>Climate and topographic factors had the strongest influence on stand structure and composition</w:t>
      </w:r>
      <w:r w:rsidRPr="007F00C7">
        <w:t>, at</w:t>
      </w:r>
      <w:r w:rsidRPr="007F00C7">
        <w:rPr>
          <w:color w:val="000000"/>
        </w:rPr>
        <w:t xml:space="preserve"> 36.6–51.2</w:t>
      </w:r>
      <w:r w:rsidR="004F6949">
        <w:rPr>
          <w:color w:val="000000"/>
        </w:rPr>
        <w:t xml:space="preserve"> </w:t>
      </w:r>
      <w:r w:rsidRPr="007F00C7">
        <w:rPr>
          <w:color w:val="000000"/>
        </w:rPr>
        <w:t>% and 33.4–44.1</w:t>
      </w:r>
      <w:r w:rsidR="004F6949">
        <w:rPr>
          <w:color w:val="000000"/>
        </w:rPr>
        <w:t xml:space="preserve"> </w:t>
      </w:r>
      <w:r w:rsidRPr="007F00C7">
        <w:rPr>
          <w:color w:val="000000"/>
        </w:rPr>
        <w:t>%</w:t>
      </w:r>
      <w:r w:rsidRPr="007F00C7">
        <w:t xml:space="preserve"> of variable influence, respectively (Fig. 7). Substrate factors were slightly less </w:t>
      </w:r>
      <w:r w:rsidR="008E7754" w:rsidRPr="007F00C7">
        <w:t>important</w:t>
      </w:r>
      <w:r w:rsidRPr="007F00C7">
        <w:t>, collectively accounting for 13.2–25.2</w:t>
      </w:r>
      <w:r w:rsidR="004F6949">
        <w:t xml:space="preserve"> </w:t>
      </w:r>
      <w:r w:rsidRPr="007F00C7">
        <w:t xml:space="preserve">% of influence. SWE, ∆SWE, and elevation </w:t>
      </w:r>
      <w:r w:rsidR="008E7754" w:rsidRPr="007F00C7">
        <w:t>were the dominant single features</w:t>
      </w:r>
      <w:r w:rsidRPr="007F00C7">
        <w:t xml:space="preserve">. Other </w:t>
      </w:r>
      <w:proofErr w:type="spellStart"/>
      <w:r w:rsidRPr="007F00C7">
        <w:t>topoclimatic</w:t>
      </w:r>
      <w:proofErr w:type="spellEnd"/>
      <w:r w:rsidRPr="007F00C7">
        <w:t xml:space="preserve"> </w:t>
      </w:r>
      <w:r w:rsidRPr="007F00C7">
        <w:rPr>
          <w:color w:val="000000"/>
        </w:rPr>
        <w:t>variables related to the water and energy balance (heat load, AET, CWD, TPI) played a smaller, though still significant role. The five most important variables for any response together accounted for 51.8–71.3</w:t>
      </w:r>
      <w:r w:rsidR="004F6949">
        <w:rPr>
          <w:color w:val="000000"/>
        </w:rPr>
        <w:t xml:space="preserve"> %</w:t>
      </w:r>
      <w:r w:rsidRPr="007F00C7">
        <w:rPr>
          <w:color w:val="000000"/>
        </w:rPr>
        <w:t xml:space="preserve"> of relative variable influence</w:t>
      </w:r>
      <w:r w:rsidR="008E7754" w:rsidRPr="007F00C7">
        <w:rPr>
          <w:color w:val="000000"/>
        </w:rPr>
        <w:t>, meaning that</w:t>
      </w:r>
      <w:r w:rsidRPr="007F00C7">
        <w:rPr>
          <w:color w:val="000000"/>
        </w:rPr>
        <w:t xml:space="preserve"> lower-ranked variables accounted for up to 48.2 </w:t>
      </w:r>
      <w:r w:rsidR="004F6949">
        <w:rPr>
          <w:color w:val="000000"/>
        </w:rPr>
        <w:t>%</w:t>
      </w:r>
      <w:r w:rsidRPr="007F00C7">
        <w:rPr>
          <w:color w:val="000000"/>
        </w:rPr>
        <w:t xml:space="preserve">, </w:t>
      </w:r>
      <w:r w:rsidR="007A5C35">
        <w:rPr>
          <w:color w:val="000000"/>
        </w:rPr>
        <w:t>which suggests that</w:t>
      </w:r>
      <w:r w:rsidRPr="007F00C7">
        <w:rPr>
          <w:color w:val="000000"/>
        </w:rPr>
        <w:t xml:space="preserve"> a complex system of controls </w:t>
      </w:r>
      <w:r w:rsidR="007A5C35">
        <w:rPr>
          <w:color w:val="000000"/>
        </w:rPr>
        <w:t xml:space="preserve">acts </w:t>
      </w:r>
      <w:r w:rsidRPr="007F00C7">
        <w:rPr>
          <w:color w:val="000000"/>
        </w:rPr>
        <w:t>on forest structure and composition</w:t>
      </w:r>
      <w:r w:rsidR="008E7754" w:rsidRPr="007F00C7">
        <w:rPr>
          <w:color w:val="000000"/>
        </w:rPr>
        <w:t xml:space="preserve"> (Fig. 7, panel B)</w:t>
      </w:r>
      <w:r w:rsidRPr="007F00C7">
        <w:rPr>
          <w:color w:val="000000"/>
        </w:rPr>
        <w:t xml:space="preserve">. The </w:t>
      </w:r>
      <w:r w:rsidR="00EE2B85" w:rsidRPr="00EE2B85">
        <w:rPr>
          <w:i/>
          <w:iCs/>
          <w:color w:val="000000"/>
        </w:rPr>
        <w:t>x</w:t>
      </w:r>
      <w:r w:rsidRPr="00EE2B85">
        <w:rPr>
          <w:i/>
          <w:iCs/>
          <w:color w:val="000000"/>
        </w:rPr>
        <w:t>-</w:t>
      </w:r>
      <w:r w:rsidR="00EE2B85" w:rsidRPr="00EE2B85">
        <w:rPr>
          <w:i/>
          <w:iCs/>
          <w:color w:val="000000"/>
        </w:rPr>
        <w:t>y</w:t>
      </w:r>
      <w:r w:rsidRPr="007F00C7">
        <w:rPr>
          <w:color w:val="000000"/>
        </w:rPr>
        <w:t xml:space="preserve"> smooth was a significant factor in the GAMs, indicating the existence of latent spatial structure in the explanatory features.</w:t>
      </w:r>
    </w:p>
    <w:p w14:paraId="00000058" w14:textId="147FD628" w:rsidR="001527B5" w:rsidRPr="007F00C7" w:rsidRDefault="00000000">
      <w:pPr>
        <w:pBdr>
          <w:top w:val="nil"/>
          <w:left w:val="nil"/>
          <w:bottom w:val="nil"/>
          <w:right w:val="nil"/>
          <w:between w:val="nil"/>
        </w:pBdr>
        <w:spacing w:after="0" w:line="480" w:lineRule="auto"/>
        <w:ind w:firstLine="720"/>
        <w:jc w:val="both"/>
        <w:rPr>
          <w:color w:val="000000"/>
        </w:rPr>
      </w:pPr>
      <w:r w:rsidRPr="007F00C7">
        <w:rPr>
          <w:color w:val="000000"/>
        </w:rPr>
        <w:t xml:space="preserve">GAMs explained a similar percentage of deviance (PDE) across the five full-forest models (Table 3). For models of species-resolved density, PDE was lower, with a nadir at 22.2% for fir. All GAM models were convergent and full rank. Tests for </w:t>
      </w:r>
      <w:r w:rsidR="007A5C35" w:rsidRPr="007A5C35">
        <w:rPr>
          <w:i/>
          <w:iCs/>
          <w:color w:val="000000"/>
        </w:rPr>
        <w:t>k</w:t>
      </w:r>
      <w:r w:rsidRPr="007F00C7">
        <w:rPr>
          <w:color w:val="000000"/>
        </w:rPr>
        <w:t xml:space="preserve"> indicated sufficient knots in the basis </w:t>
      </w:r>
      <w:r w:rsidRPr="007F00C7">
        <w:rPr>
          <w:color w:val="000000"/>
        </w:rPr>
        <w:lastRenderedPageBreak/>
        <w:t xml:space="preserve">functions for all parameters (Table </w:t>
      </w:r>
      <w:r w:rsidR="002D2C56">
        <w:rPr>
          <w:color w:val="000000"/>
        </w:rPr>
        <w:t>A.</w:t>
      </w:r>
      <w:r w:rsidRPr="007F00C7">
        <w:rPr>
          <w:color w:val="000000"/>
        </w:rPr>
        <w:t xml:space="preserve">7), and examination of residual plots indicated low bias in model fits (see optimal tuning parameters in Table </w:t>
      </w:r>
      <w:r w:rsidR="002D2C56">
        <w:rPr>
          <w:color w:val="000000"/>
        </w:rPr>
        <w:t>A.</w:t>
      </w:r>
      <w:r w:rsidRPr="007F00C7">
        <w:rPr>
          <w:color w:val="000000"/>
        </w:rPr>
        <w:t>8).</w:t>
      </w:r>
    </w:p>
    <w:p w14:paraId="00000059" w14:textId="31DB142D" w:rsidR="001527B5" w:rsidRPr="007F00C7" w:rsidRDefault="00000000">
      <w:pPr>
        <w:pBdr>
          <w:top w:val="nil"/>
          <w:left w:val="nil"/>
          <w:bottom w:val="nil"/>
          <w:right w:val="nil"/>
          <w:between w:val="nil"/>
        </w:pBdr>
        <w:spacing w:after="0" w:line="480" w:lineRule="auto"/>
        <w:ind w:firstLine="720"/>
        <w:jc w:val="both"/>
        <w:rPr>
          <w:color w:val="000000"/>
        </w:rPr>
      </w:pPr>
      <w:r w:rsidRPr="007F00C7">
        <w:rPr>
          <w:color w:val="000000"/>
        </w:rPr>
        <w:t xml:space="preserve">The effects of explanatory variables were generally coherent between the two modeling strategies. The top five in each GBM also covaried strongly with the response variables in GAMs, based on interpretation of partial-effects plots (Fig. 8). Variables falling below the top five usually had slopes near zero in the GAMs, indicating a null relationship or that the smooths had been selected out of the model. (GAM partial-effects plots for all explanatory variables appear in Fig. </w:t>
      </w:r>
      <w:r w:rsidR="00F14859">
        <w:rPr>
          <w:color w:val="000000"/>
        </w:rPr>
        <w:t>A.4</w:t>
      </w:r>
      <w:r w:rsidRPr="007F00C7">
        <w:rPr>
          <w:color w:val="000000"/>
        </w:rPr>
        <w:t>). In rare cases, a variable with apparent leverage in a GAM was not highly influential in the corresponding GBM.</w:t>
      </w:r>
    </w:p>
    <w:p w14:paraId="0000005A" w14:textId="77777777" w:rsidR="001527B5" w:rsidRPr="007F00C7" w:rsidRDefault="00000000">
      <w:pPr>
        <w:pStyle w:val="Heading3"/>
        <w:rPr>
          <w:rFonts w:ascii="Times New Roman" w:hAnsi="Times New Roman" w:cs="Times New Roman"/>
        </w:rPr>
      </w:pPr>
      <w:bookmarkStart w:id="23" w:name="bookmark=id.1ci93xb" w:colFirst="0" w:colLast="0"/>
      <w:bookmarkEnd w:id="23"/>
      <w:r w:rsidRPr="007F00C7">
        <w:rPr>
          <w:rFonts w:ascii="Times New Roman" w:hAnsi="Times New Roman" w:cs="Times New Roman"/>
        </w:rPr>
        <w:t>3.3.1 Climate effects</w:t>
      </w:r>
    </w:p>
    <w:p w14:paraId="0000005B" w14:textId="21D92184" w:rsidR="001527B5" w:rsidRPr="007F00C7" w:rsidRDefault="00000000" w:rsidP="009D2FF8">
      <w:pPr>
        <w:pBdr>
          <w:top w:val="nil"/>
          <w:left w:val="nil"/>
          <w:bottom w:val="nil"/>
          <w:right w:val="nil"/>
          <w:between w:val="nil"/>
        </w:pBdr>
        <w:spacing w:after="0" w:line="480" w:lineRule="auto"/>
        <w:ind w:firstLine="720"/>
        <w:jc w:val="both"/>
        <w:rPr>
          <w:color w:val="000000"/>
        </w:rPr>
      </w:pPr>
      <w:r w:rsidRPr="007F00C7">
        <w:rPr>
          <w:color w:val="000000"/>
        </w:rPr>
        <w:t>SWE and ∆SWE</w:t>
      </w:r>
      <w:r w:rsidR="00394BDD" w:rsidRPr="007F00C7">
        <w:rPr>
          <w:color w:val="000000"/>
        </w:rPr>
        <w:t xml:space="preserve"> </w:t>
      </w:r>
      <w:r w:rsidRPr="007F00C7">
        <w:rPr>
          <w:color w:val="000000"/>
        </w:rPr>
        <w:t xml:space="preserve">were the most influential factors in GBMs of total stand density and basal area and ranked among the top five for every full-forest structure response (Fig. 7). In GAMs, multiple measures of stand structure showed a similar nonlinear relationship with SWE. The highest density, basal area, maximum canopy height, and QMD occurred near 0.3 m SWE (~1 </w:t>
      </w:r>
      <w:proofErr w:type="spellStart"/>
      <w:r w:rsidRPr="007F00C7">
        <w:rPr>
          <w:color w:val="000000"/>
        </w:rPr>
        <w:t>s.d.</w:t>
      </w:r>
      <w:proofErr w:type="spellEnd"/>
      <w:r w:rsidRPr="007F00C7">
        <w:rPr>
          <w:color w:val="000000"/>
        </w:rPr>
        <w:t xml:space="preserve"> below mean), and </w:t>
      </w:r>
      <w:r w:rsidR="00FC440B" w:rsidRPr="007F00C7">
        <w:rPr>
          <w:color w:val="000000"/>
        </w:rPr>
        <w:t>each</w:t>
      </w:r>
      <w:r w:rsidRPr="007F00C7">
        <w:rPr>
          <w:color w:val="000000"/>
        </w:rPr>
        <w:t xml:space="preserve"> of these metrics declined as SWE increased. Height skew and species-resolved densities were exceptions to this pattern. Height skew followed an approximately sigmoid increase with SWE, such that stands with more small trees were associated with high snow accumulation, up to a threshold around 2.5 </w:t>
      </w:r>
      <w:proofErr w:type="spellStart"/>
      <w:r w:rsidRPr="007F00C7">
        <w:rPr>
          <w:color w:val="000000"/>
        </w:rPr>
        <w:t>s.d.</w:t>
      </w:r>
      <w:proofErr w:type="spellEnd"/>
      <w:r w:rsidRPr="007F00C7">
        <w:rPr>
          <w:color w:val="000000"/>
        </w:rPr>
        <w:t xml:space="preserve"> above the mean. Fir, spruce, and pine densities were highest around average SWE and declined steeply beyond this maximum. In the zone of </w:t>
      </w:r>
      <w:r w:rsidR="00C2524A" w:rsidRPr="007F00C7">
        <w:rPr>
          <w:color w:val="000000"/>
        </w:rPr>
        <w:t>lower-than-average</w:t>
      </w:r>
      <w:r w:rsidRPr="007F00C7">
        <w:rPr>
          <w:color w:val="000000"/>
        </w:rPr>
        <w:t xml:space="preserve"> snow depth, fir and spruce densities varied little, but pine density increased sharply with increasing SWE (Fig. </w:t>
      </w:r>
      <w:r w:rsidR="00467787" w:rsidRPr="007F00C7">
        <w:rPr>
          <w:color w:val="000000"/>
        </w:rPr>
        <w:t>8</w:t>
      </w:r>
      <w:r w:rsidRPr="007F00C7">
        <w:rPr>
          <w:color w:val="000000"/>
        </w:rPr>
        <w:t>).</w:t>
      </w:r>
    </w:p>
    <w:p w14:paraId="0000005C" w14:textId="383957FF" w:rsidR="001527B5" w:rsidRPr="007F00C7" w:rsidRDefault="00000000" w:rsidP="009D2FF8">
      <w:pPr>
        <w:pBdr>
          <w:top w:val="nil"/>
          <w:left w:val="nil"/>
          <w:bottom w:val="nil"/>
          <w:right w:val="nil"/>
          <w:between w:val="nil"/>
        </w:pBdr>
        <w:spacing w:after="0" w:line="480" w:lineRule="auto"/>
        <w:ind w:firstLine="720"/>
        <w:jc w:val="both"/>
        <w:rPr>
          <w:color w:val="000000"/>
        </w:rPr>
      </w:pPr>
      <w:r w:rsidRPr="007F00C7">
        <w:rPr>
          <w:color w:val="000000"/>
        </w:rPr>
        <w:t xml:space="preserve">Basal area, maximum height, and QMD were highest in positions with longer snow residence times (i.e., lower ∆SWE values), following a linear function. Total density was highest </w:t>
      </w:r>
      <w:r w:rsidRPr="007F00C7">
        <w:rPr>
          <w:color w:val="000000"/>
        </w:rPr>
        <w:lastRenderedPageBreak/>
        <w:t>around 0.37 % d</w:t>
      </w:r>
      <w:r w:rsidR="00F728F1" w:rsidRPr="007F00C7">
        <w:rPr>
          <w:color w:val="000000"/>
          <w:vertAlign w:val="superscript"/>
        </w:rPr>
        <w:t>–1</w:t>
      </w:r>
      <w:r w:rsidRPr="007F00C7">
        <w:rPr>
          <w:color w:val="000000"/>
        </w:rPr>
        <w:t xml:space="preserve"> (~1 </w:t>
      </w:r>
      <w:proofErr w:type="spellStart"/>
      <w:r w:rsidRPr="007F00C7">
        <w:rPr>
          <w:color w:val="000000"/>
        </w:rPr>
        <w:t>s.d.</w:t>
      </w:r>
      <w:proofErr w:type="spellEnd"/>
      <w:r w:rsidRPr="007F00C7">
        <w:rPr>
          <w:color w:val="000000"/>
        </w:rPr>
        <w:t xml:space="preserve"> below mean ∆SWE) and declined toward high and low ∆SWE extremes. As snow melt rate increased across stands, they tended to contain more small trees, but this relationship became asymptotic at 0.96 % d</w:t>
      </w:r>
      <w:r w:rsidR="00F728F1" w:rsidRPr="007F00C7">
        <w:rPr>
          <w:color w:val="000000"/>
          <w:vertAlign w:val="superscript"/>
        </w:rPr>
        <w:t>–1</w:t>
      </w:r>
      <w:r w:rsidRPr="007F00C7">
        <w:rPr>
          <w:color w:val="000000"/>
        </w:rPr>
        <w:t xml:space="preserve"> (</w:t>
      </w:r>
      <w:r w:rsidR="00A81AD4" w:rsidRPr="007F00C7">
        <w:rPr>
          <w:color w:val="000000"/>
        </w:rPr>
        <w:t>~</w:t>
      </w:r>
      <w:r w:rsidRPr="007F00C7">
        <w:rPr>
          <w:color w:val="000000"/>
        </w:rPr>
        <w:t xml:space="preserve">1 </w:t>
      </w:r>
      <w:proofErr w:type="spellStart"/>
      <w:r w:rsidRPr="007F00C7">
        <w:rPr>
          <w:color w:val="000000"/>
        </w:rPr>
        <w:t>s.d.</w:t>
      </w:r>
      <w:proofErr w:type="spellEnd"/>
      <w:r w:rsidRPr="007F00C7">
        <w:rPr>
          <w:color w:val="000000"/>
        </w:rPr>
        <w:t xml:space="preserve"> above mean) (Fig. </w:t>
      </w:r>
      <w:r w:rsidR="00467787" w:rsidRPr="007F00C7">
        <w:rPr>
          <w:color w:val="000000"/>
        </w:rPr>
        <w:t>8</w:t>
      </w:r>
      <w:r w:rsidRPr="007F00C7">
        <w:rPr>
          <w:color w:val="000000"/>
        </w:rPr>
        <w:t>).</w:t>
      </w:r>
    </w:p>
    <w:p w14:paraId="0000005D" w14:textId="54627B74" w:rsidR="001527B5" w:rsidRPr="007F00C7" w:rsidRDefault="00000000" w:rsidP="009D2FF8">
      <w:pPr>
        <w:pBdr>
          <w:top w:val="nil"/>
          <w:left w:val="nil"/>
          <w:bottom w:val="nil"/>
          <w:right w:val="nil"/>
          <w:between w:val="nil"/>
        </w:pBdr>
        <w:spacing w:after="0" w:line="480" w:lineRule="auto"/>
        <w:ind w:firstLine="720"/>
        <w:jc w:val="both"/>
        <w:rPr>
          <w:color w:val="000000"/>
        </w:rPr>
      </w:pPr>
      <w:r w:rsidRPr="007F00C7">
        <w:rPr>
          <w:color w:val="000000"/>
        </w:rPr>
        <w:t>The remaining two climate variables, AET and CWD, were somewhat less influential than snow factors. AET ranked among the five most influential variables for several responses. The relationships were nonlinear but generally declined from lower to higher AET. For basal area, maximum height, and QMD, local maxima existed near 3.3 x 10</w:t>
      </w:r>
      <w:r w:rsidRPr="007F00C7">
        <w:rPr>
          <w:color w:val="000000"/>
          <w:vertAlign w:val="superscript"/>
        </w:rPr>
        <w:t>4</w:t>
      </w:r>
      <w:r w:rsidRPr="007F00C7">
        <w:rPr>
          <w:color w:val="000000"/>
        </w:rPr>
        <w:t xml:space="preserve"> mm and 5.9 x 10</w:t>
      </w:r>
      <w:r w:rsidRPr="007F00C7">
        <w:rPr>
          <w:color w:val="000000"/>
          <w:vertAlign w:val="superscript"/>
        </w:rPr>
        <w:t>4</w:t>
      </w:r>
      <w:r w:rsidRPr="007F00C7">
        <w:rPr>
          <w:color w:val="000000"/>
        </w:rPr>
        <w:t xml:space="preserve"> mm AET (</w:t>
      </w:r>
      <m:oMath>
        <m:r>
          <w:rPr>
            <w:rFonts w:ascii="Cambria Math" w:hAnsi="Cambria Math"/>
          </w:rPr>
          <m:t>±</m:t>
        </m:r>
      </m:oMath>
      <w:r w:rsidRPr="007F00C7">
        <w:rPr>
          <w:color w:val="000000"/>
        </w:rPr>
        <w:t xml:space="preserve"> 2.5 s.d. from mean). Fir densities declined linearly as </w:t>
      </w:r>
      <w:r w:rsidR="00BA3D94" w:rsidRPr="007F00C7">
        <w:rPr>
          <w:color w:val="000000"/>
        </w:rPr>
        <w:t>CWD</w:t>
      </w:r>
      <w:r w:rsidRPr="007F00C7">
        <w:rPr>
          <w:color w:val="000000"/>
        </w:rPr>
        <w:t xml:space="preserve"> increased, while pine densities peaked near 3.4 x 10</w:t>
      </w:r>
      <w:r w:rsidRPr="007F00C7">
        <w:rPr>
          <w:color w:val="000000"/>
          <w:vertAlign w:val="superscript"/>
        </w:rPr>
        <w:t>4</w:t>
      </w:r>
      <w:r w:rsidRPr="007F00C7">
        <w:rPr>
          <w:color w:val="000000"/>
        </w:rPr>
        <w:t xml:space="preserve"> mm (2 </w:t>
      </w:r>
      <w:proofErr w:type="spellStart"/>
      <w:r w:rsidRPr="007F00C7">
        <w:rPr>
          <w:color w:val="000000"/>
        </w:rPr>
        <w:t>s.d.</w:t>
      </w:r>
      <w:proofErr w:type="spellEnd"/>
      <w:r w:rsidRPr="007F00C7">
        <w:rPr>
          <w:color w:val="000000"/>
        </w:rPr>
        <w:t xml:space="preserve"> above mean</w:t>
      </w:r>
      <w:r w:rsidR="009D2FF8" w:rsidRPr="007F00C7">
        <w:rPr>
          <w:color w:val="000000"/>
        </w:rPr>
        <w:t xml:space="preserve"> CWD</w:t>
      </w:r>
      <w:r w:rsidRPr="007F00C7">
        <w:rPr>
          <w:color w:val="000000"/>
        </w:rPr>
        <w:t>) and declined toward the high and low water deficit extremes.</w:t>
      </w:r>
    </w:p>
    <w:p w14:paraId="0000005E" w14:textId="77777777" w:rsidR="001527B5" w:rsidRPr="007F00C7" w:rsidRDefault="00000000">
      <w:pPr>
        <w:pStyle w:val="Heading3"/>
        <w:rPr>
          <w:rFonts w:ascii="Times New Roman" w:hAnsi="Times New Roman" w:cs="Times New Roman"/>
        </w:rPr>
      </w:pPr>
      <w:bookmarkStart w:id="24" w:name="bookmark=id.3whwml4" w:colFirst="0" w:colLast="0"/>
      <w:bookmarkEnd w:id="24"/>
      <w:r w:rsidRPr="007F00C7">
        <w:rPr>
          <w:rFonts w:ascii="Times New Roman" w:hAnsi="Times New Roman" w:cs="Times New Roman"/>
        </w:rPr>
        <w:t>3.3.2 Topographic effects</w:t>
      </w:r>
    </w:p>
    <w:p w14:paraId="0000005F" w14:textId="4C1F1E99" w:rsidR="001527B5" w:rsidRPr="007F00C7" w:rsidRDefault="00000000">
      <w:pPr>
        <w:pBdr>
          <w:top w:val="nil"/>
          <w:left w:val="nil"/>
          <w:bottom w:val="nil"/>
          <w:right w:val="nil"/>
          <w:between w:val="nil"/>
        </w:pBdr>
        <w:spacing w:after="0" w:line="480" w:lineRule="auto"/>
        <w:ind w:firstLine="720"/>
        <w:jc w:val="both"/>
        <w:rPr>
          <w:color w:val="000000"/>
        </w:rPr>
      </w:pPr>
      <w:r w:rsidRPr="007F00C7">
        <w:rPr>
          <w:color w:val="000000"/>
        </w:rPr>
        <w:t>Elevation appeared among the top five covariates for every structural metric and was the most influential factor explaining maximum height and QMD</w:t>
      </w:r>
      <w:r w:rsidR="00467787" w:rsidRPr="007F00C7">
        <w:rPr>
          <w:color w:val="000000"/>
        </w:rPr>
        <w:t xml:space="preserve"> (Fig. 7)</w:t>
      </w:r>
      <w:r w:rsidRPr="007F00C7">
        <w:rPr>
          <w:color w:val="000000"/>
        </w:rPr>
        <w:t>. Total density decreased linearly with increasing elevation</w:t>
      </w:r>
      <w:r w:rsidR="00467787" w:rsidRPr="007F00C7">
        <w:rPr>
          <w:color w:val="000000"/>
        </w:rPr>
        <w:t xml:space="preserve"> (Fig. 8)</w:t>
      </w:r>
      <w:r w:rsidRPr="007F00C7">
        <w:rPr>
          <w:color w:val="000000"/>
        </w:rPr>
        <w:t>. Stands with smaller-statured trees tended to occur at higher elevations, while those most strongly skewed toward larger trees occurred near the domain’s mean elevation of 3200 m. All other structural metrics showed non-monotonic relationships, with maxima between 3000 m and 3200 m and asymptotic declines as elevation increased. Heat load was the most influential covariate for fir density and ranked among the most influential for all other responses except basal area. Functional forms varied. Maximum height and QMD increased with heat load, while total density increased exponentially. The TPI–height skew relationship suggested that stands with more small trees occurred on low- and toe</w:t>
      </w:r>
      <w:r w:rsidR="00F728F1" w:rsidRPr="007F00C7">
        <w:rPr>
          <w:color w:val="000000"/>
        </w:rPr>
        <w:t>-</w:t>
      </w:r>
      <w:r w:rsidRPr="007F00C7">
        <w:rPr>
          <w:color w:val="000000"/>
        </w:rPr>
        <w:t>slopes, while stands with more large trees occurred on mid</w:t>
      </w:r>
      <w:r w:rsidR="00F728F1" w:rsidRPr="007F00C7">
        <w:rPr>
          <w:color w:val="000000"/>
        </w:rPr>
        <w:t>-</w:t>
      </w:r>
      <w:r w:rsidRPr="007F00C7">
        <w:rPr>
          <w:color w:val="000000"/>
        </w:rPr>
        <w:t>slope</w:t>
      </w:r>
      <w:r w:rsidR="00394BDD" w:rsidRPr="007F00C7">
        <w:rPr>
          <w:color w:val="000000"/>
        </w:rPr>
        <w:t>s</w:t>
      </w:r>
      <w:r w:rsidRPr="007F00C7">
        <w:rPr>
          <w:color w:val="000000"/>
        </w:rPr>
        <w:t xml:space="preserve">. Although TPI did not emerge as a top-ranked </w:t>
      </w:r>
      <w:r w:rsidRPr="007F00C7">
        <w:rPr>
          <w:color w:val="000000"/>
        </w:rPr>
        <w:lastRenderedPageBreak/>
        <w:t xml:space="preserve">feature in the other GBMs, it did exert a modest influence on basal area, QMD, and total density in GAMs: </w:t>
      </w:r>
      <w:proofErr w:type="gramStart"/>
      <w:r w:rsidRPr="007F00C7">
        <w:rPr>
          <w:color w:val="000000"/>
        </w:rPr>
        <w:t>all of</w:t>
      </w:r>
      <w:proofErr w:type="gramEnd"/>
      <w:r w:rsidRPr="007F00C7">
        <w:rPr>
          <w:color w:val="000000"/>
        </w:rPr>
        <w:t xml:space="preserve"> these structural metrics were highest on mid-slopes (Fig. </w:t>
      </w:r>
      <w:r w:rsidR="00F14859">
        <w:rPr>
          <w:color w:val="000000"/>
        </w:rPr>
        <w:t>A.4</w:t>
      </w:r>
      <w:r w:rsidRPr="007F00C7">
        <w:rPr>
          <w:color w:val="000000"/>
        </w:rPr>
        <w:t>).</w:t>
      </w:r>
    </w:p>
    <w:p w14:paraId="00000060" w14:textId="6B0E4FA2" w:rsidR="001527B5" w:rsidRPr="007F00C7" w:rsidRDefault="00000000">
      <w:pPr>
        <w:pBdr>
          <w:top w:val="nil"/>
          <w:left w:val="nil"/>
          <w:bottom w:val="nil"/>
          <w:right w:val="nil"/>
          <w:between w:val="nil"/>
        </w:pBdr>
        <w:spacing w:after="0" w:line="480" w:lineRule="auto"/>
        <w:ind w:firstLine="720"/>
        <w:jc w:val="both"/>
        <w:rPr>
          <w:color w:val="000000"/>
        </w:rPr>
      </w:pPr>
      <w:r w:rsidRPr="007F00C7">
        <w:rPr>
          <w:color w:val="000000"/>
        </w:rPr>
        <w:t xml:space="preserve">The primary topographic factors (elevation, heat load, TPI) explaining stand structure also interacted with climate factors in important ways (Fig. 9). For example, elevation modified the effects of snow loss rate for all structural metrics. Specifically, basal area and QMD were highest at mid-elevation sites with slow snow disappearance rates. These structural values decreased as the rate of snow loss increased, but the effect was stronger toward higher elevations (Fig. 9). Height skew showed a similar </w:t>
      </w:r>
      <w:proofErr w:type="gramStart"/>
      <w:r w:rsidRPr="007F00C7">
        <w:rPr>
          <w:color w:val="000000"/>
        </w:rPr>
        <w:t>relationship:</w:t>
      </w:r>
      <w:proofErr w:type="gramEnd"/>
      <w:r w:rsidRPr="007F00C7">
        <w:rPr>
          <w:color w:val="000000"/>
        </w:rPr>
        <w:t xml:space="preserve"> stands with more large trees occurred at slow-melting, mid-elevation sites. Conversely, the highest densities occurred at the extremes: high elevation—high ∆SWE and low elevation—low ∆SWE positions.</w:t>
      </w:r>
    </w:p>
    <w:p w14:paraId="00000061" w14:textId="77777777" w:rsidR="001527B5" w:rsidRPr="007F00C7" w:rsidRDefault="00000000">
      <w:pPr>
        <w:pStyle w:val="Heading3"/>
        <w:rPr>
          <w:rFonts w:ascii="Times New Roman" w:hAnsi="Times New Roman" w:cs="Times New Roman"/>
        </w:rPr>
      </w:pPr>
      <w:bookmarkStart w:id="25" w:name="bookmark=id.2bn6wsx" w:colFirst="0" w:colLast="0"/>
      <w:bookmarkEnd w:id="25"/>
      <w:r w:rsidRPr="007F00C7">
        <w:rPr>
          <w:rFonts w:ascii="Times New Roman" w:hAnsi="Times New Roman" w:cs="Times New Roman"/>
        </w:rPr>
        <w:t>3.3.3 Substrate effects</w:t>
      </w:r>
    </w:p>
    <w:p w14:paraId="00000062" w14:textId="7EDF38E2" w:rsidR="001527B5" w:rsidRPr="007F00C7" w:rsidRDefault="00000000">
      <w:pPr>
        <w:pBdr>
          <w:top w:val="nil"/>
          <w:left w:val="nil"/>
          <w:bottom w:val="nil"/>
          <w:right w:val="nil"/>
          <w:between w:val="nil"/>
        </w:pBdr>
        <w:spacing w:after="0" w:line="480" w:lineRule="auto"/>
        <w:ind w:firstLine="720"/>
        <w:jc w:val="both"/>
        <w:rPr>
          <w:color w:val="000000"/>
        </w:rPr>
      </w:pPr>
      <w:r w:rsidRPr="007F00C7">
        <w:rPr>
          <w:color w:val="000000"/>
        </w:rPr>
        <w:t>Soil factors accounted for at most 22% of cumulative influence in any GBM. CEC was a top-five feature in the GBM for pine density, although its partial effect in the GAM was weaker than that of other variables. Soil AWC exerted a modest influence on maximum height and QMD, along a bimodal function with minima at 0.06 and 0.15 cm H</w:t>
      </w:r>
      <w:r w:rsidRPr="007F00C7">
        <w:rPr>
          <w:color w:val="000000"/>
          <w:vertAlign w:val="subscript"/>
        </w:rPr>
        <w:t>2</w:t>
      </w:r>
      <w:r w:rsidRPr="007F00C7">
        <w:rPr>
          <w:color w:val="000000"/>
        </w:rPr>
        <w:t>O cm</w:t>
      </w:r>
      <w:r w:rsidR="00D175AB" w:rsidRPr="007F00C7">
        <w:rPr>
          <w:color w:val="000000"/>
          <w:vertAlign w:val="superscript"/>
        </w:rPr>
        <w:t>–1</w:t>
      </w:r>
      <w:r w:rsidRPr="007F00C7">
        <w:rPr>
          <w:color w:val="000000"/>
        </w:rPr>
        <w:t xml:space="preserve"> soil, approximately </w:t>
      </w:r>
      <w:r w:rsidR="00D175AB" w:rsidRPr="007F00C7">
        <w:rPr>
          <w:color w:val="000000"/>
        </w:rPr>
        <w:t>–</w:t>
      </w:r>
      <w:r w:rsidRPr="007F00C7">
        <w:rPr>
          <w:color w:val="000000"/>
        </w:rPr>
        <w:t xml:space="preserve">2 </w:t>
      </w:r>
      <w:proofErr w:type="spellStart"/>
      <w:r w:rsidRPr="007F00C7">
        <w:rPr>
          <w:color w:val="000000"/>
        </w:rPr>
        <w:t>s.d.</w:t>
      </w:r>
      <w:proofErr w:type="spellEnd"/>
      <w:r w:rsidRPr="007F00C7">
        <w:rPr>
          <w:color w:val="000000"/>
        </w:rPr>
        <w:t xml:space="preserve"> and +1 </w:t>
      </w:r>
      <w:proofErr w:type="spellStart"/>
      <w:r w:rsidRPr="007F00C7">
        <w:rPr>
          <w:color w:val="000000"/>
        </w:rPr>
        <w:t>s.d.</w:t>
      </w:r>
      <w:proofErr w:type="spellEnd"/>
      <w:r w:rsidRPr="007F00C7">
        <w:rPr>
          <w:color w:val="000000"/>
        </w:rPr>
        <w:t xml:space="preserve"> from mean. Soil AWC interactions with AET and SWE also had a strong influence on basal area, QMD, and total density (Fig. 9). For example, basal area was greatest in sites with high AET and low soil AWC. Basal area decreased through the midrange of AWC and increased again toward high AWC, but this effect was considerably stronger in sites with high AET (Fig. 9). Total density increased with AWC along a stable ridge between mean and </w:t>
      </w:r>
      <w:r w:rsidR="00D175AB" w:rsidRPr="007F00C7">
        <w:rPr>
          <w:color w:val="000000"/>
        </w:rPr>
        <w:t>–</w:t>
      </w:r>
      <w:r w:rsidRPr="007F00C7">
        <w:rPr>
          <w:color w:val="000000"/>
        </w:rPr>
        <w:t xml:space="preserve">1 </w:t>
      </w:r>
      <w:proofErr w:type="spellStart"/>
      <w:r w:rsidRPr="007F00C7">
        <w:rPr>
          <w:color w:val="000000"/>
        </w:rPr>
        <w:t>s.d.</w:t>
      </w:r>
      <w:proofErr w:type="spellEnd"/>
      <w:r w:rsidRPr="007F00C7">
        <w:rPr>
          <w:color w:val="000000"/>
        </w:rPr>
        <w:t xml:space="preserve"> SWE.</w:t>
      </w:r>
    </w:p>
    <w:p w14:paraId="00000063" w14:textId="73CEBF35" w:rsidR="001527B5" w:rsidRPr="007F00C7" w:rsidRDefault="00000000">
      <w:pPr>
        <w:pBdr>
          <w:top w:val="nil"/>
          <w:left w:val="nil"/>
          <w:bottom w:val="nil"/>
          <w:right w:val="nil"/>
          <w:between w:val="nil"/>
        </w:pBdr>
        <w:spacing w:after="0" w:line="480" w:lineRule="auto"/>
        <w:ind w:firstLine="720"/>
        <w:jc w:val="both"/>
        <w:rPr>
          <w:color w:val="000000"/>
        </w:rPr>
      </w:pPr>
      <w:r w:rsidRPr="007F00C7">
        <w:rPr>
          <w:color w:val="000000"/>
        </w:rPr>
        <w:t xml:space="preserve">Although geology was among the least influential variables across all models, there were select instances where lithologic parent material </w:t>
      </w:r>
      <w:proofErr w:type="gramStart"/>
      <w:r w:rsidRPr="007F00C7">
        <w:rPr>
          <w:color w:val="000000"/>
        </w:rPr>
        <w:t>had an effect on</w:t>
      </w:r>
      <w:proofErr w:type="gramEnd"/>
      <w:r w:rsidRPr="007F00C7">
        <w:rPr>
          <w:color w:val="000000"/>
        </w:rPr>
        <w:t xml:space="preserve"> forest structure and composition. On landslide deposits (</w:t>
      </w:r>
      <w:proofErr w:type="spellStart"/>
      <w:r w:rsidRPr="007F00C7">
        <w:rPr>
          <w:color w:val="000000"/>
        </w:rPr>
        <w:t>Ql</w:t>
      </w:r>
      <w:proofErr w:type="spellEnd"/>
      <w:r w:rsidRPr="007F00C7">
        <w:rPr>
          <w:color w:val="000000"/>
        </w:rPr>
        <w:t>), basal area was 10 m</w:t>
      </w:r>
      <w:r w:rsidRPr="007F00C7">
        <w:rPr>
          <w:color w:val="000000"/>
          <w:vertAlign w:val="superscript"/>
        </w:rPr>
        <w:t>2</w:t>
      </w:r>
      <w:r w:rsidRPr="007F00C7">
        <w:rPr>
          <w:color w:val="000000"/>
        </w:rPr>
        <w:t xml:space="preserve"> ha</w:t>
      </w:r>
      <w:r w:rsidR="00D175AB" w:rsidRPr="007F00C7">
        <w:rPr>
          <w:color w:val="000000"/>
          <w:vertAlign w:val="superscript"/>
        </w:rPr>
        <w:t>–1</w:t>
      </w:r>
      <w:r w:rsidRPr="007F00C7">
        <w:rPr>
          <w:color w:val="000000"/>
        </w:rPr>
        <w:t xml:space="preserve"> greater, QMD 5 cm greater, and maximum </w:t>
      </w:r>
      <w:r w:rsidRPr="007F00C7">
        <w:rPr>
          <w:color w:val="000000"/>
        </w:rPr>
        <w:lastRenderedPageBreak/>
        <w:t>height 4 m greater than average</w:t>
      </w:r>
      <w:r w:rsidRPr="007F00C7">
        <w:t xml:space="preserve"> (Fig. 10)</w:t>
      </w:r>
      <w:r w:rsidRPr="007F00C7">
        <w:rPr>
          <w:color w:val="000000"/>
        </w:rPr>
        <w:t>. Total density was 240 stems ha</w:t>
      </w:r>
      <w:r w:rsidR="00D175AB" w:rsidRPr="007F00C7">
        <w:rPr>
          <w:color w:val="000000"/>
          <w:vertAlign w:val="superscript"/>
        </w:rPr>
        <w:t>–1</w:t>
      </w:r>
      <w:r w:rsidRPr="007F00C7">
        <w:rPr>
          <w:color w:val="000000"/>
        </w:rPr>
        <w:t xml:space="preserve"> below average on the Gothic Formation’s Pennsylvanian-Permian sandstone and shale (Pm). Most structural variables tended to be lower than average on granodioritic laccoliths (</w:t>
      </w:r>
      <w:proofErr w:type="spellStart"/>
      <w:r w:rsidRPr="007F00C7">
        <w:rPr>
          <w:color w:val="000000"/>
        </w:rPr>
        <w:t>Tmi</w:t>
      </w:r>
      <w:proofErr w:type="spellEnd"/>
      <w:r w:rsidRPr="007F00C7">
        <w:rPr>
          <w:color w:val="000000"/>
        </w:rPr>
        <w:t>).</w:t>
      </w:r>
    </w:p>
    <w:p w14:paraId="00000064" w14:textId="77777777" w:rsidR="001527B5" w:rsidRPr="007F00C7" w:rsidRDefault="00000000">
      <w:pPr>
        <w:pStyle w:val="Heading1"/>
        <w:rPr>
          <w:rFonts w:ascii="Times New Roman" w:hAnsi="Times New Roman" w:cs="Times New Roman"/>
        </w:rPr>
      </w:pPr>
      <w:bookmarkStart w:id="26" w:name="bookmark=id.qsh70q" w:colFirst="0" w:colLast="0"/>
      <w:bookmarkEnd w:id="26"/>
      <w:r w:rsidRPr="007F00C7">
        <w:rPr>
          <w:rFonts w:ascii="Times New Roman" w:hAnsi="Times New Roman" w:cs="Times New Roman"/>
        </w:rPr>
        <w:t>4. Discussion</w:t>
      </w:r>
    </w:p>
    <w:p w14:paraId="00000065" w14:textId="7B7319E9" w:rsidR="001527B5" w:rsidRPr="007F00C7" w:rsidRDefault="00000000">
      <w:pPr>
        <w:pBdr>
          <w:top w:val="nil"/>
          <w:left w:val="nil"/>
          <w:bottom w:val="nil"/>
          <w:right w:val="nil"/>
          <w:between w:val="nil"/>
        </w:pBdr>
        <w:spacing w:after="0" w:line="480" w:lineRule="auto"/>
        <w:ind w:firstLine="720"/>
        <w:jc w:val="both"/>
        <w:rPr>
          <w:color w:val="000000"/>
        </w:rPr>
      </w:pPr>
      <w:r w:rsidRPr="007F00C7">
        <w:rPr>
          <w:color w:val="000000"/>
        </w:rPr>
        <w:t xml:space="preserve">Our results demonstrate strong direct, interactive, and often nonlinear associations between </w:t>
      </w:r>
      <w:r w:rsidR="005F68D0" w:rsidRPr="007F00C7">
        <w:rPr>
          <w:color w:val="000000"/>
        </w:rPr>
        <w:t>conifer stand structure and composition and abiotic gradients</w:t>
      </w:r>
      <w:r w:rsidRPr="007F00C7">
        <w:rPr>
          <w:color w:val="000000"/>
        </w:rPr>
        <w:t xml:space="preserve">. </w:t>
      </w:r>
      <w:r w:rsidR="008E469F" w:rsidRPr="007F00C7">
        <w:rPr>
          <w:color w:val="000000"/>
        </w:rPr>
        <w:t>Using</w:t>
      </w:r>
      <w:r w:rsidRPr="007F00C7">
        <w:rPr>
          <w:color w:val="000000"/>
        </w:rPr>
        <w:t xml:space="preserve"> multiple spatially continuous</w:t>
      </w:r>
      <w:r w:rsidR="008E469F" w:rsidRPr="007F00C7">
        <w:rPr>
          <w:color w:val="000000"/>
        </w:rPr>
        <w:t xml:space="preserve"> </w:t>
      </w:r>
      <w:r w:rsidRPr="007F00C7">
        <w:rPr>
          <w:color w:val="000000"/>
        </w:rPr>
        <w:t>structur</w:t>
      </w:r>
      <w:r w:rsidR="008E469F" w:rsidRPr="007F00C7">
        <w:rPr>
          <w:color w:val="000000"/>
        </w:rPr>
        <w:t>al</w:t>
      </w:r>
      <w:r w:rsidRPr="007F00C7">
        <w:rPr>
          <w:color w:val="000000"/>
        </w:rPr>
        <w:t xml:space="preserve"> and composition</w:t>
      </w:r>
      <w:r w:rsidR="008E469F" w:rsidRPr="007F00C7">
        <w:rPr>
          <w:color w:val="000000"/>
        </w:rPr>
        <w:t>al metrics</w:t>
      </w:r>
      <w:r w:rsidRPr="007F00C7">
        <w:rPr>
          <w:color w:val="000000"/>
        </w:rPr>
        <w:t xml:space="preserve">, we </w:t>
      </w:r>
      <w:r w:rsidR="00E03F69" w:rsidRPr="007F00C7">
        <w:rPr>
          <w:color w:val="000000"/>
        </w:rPr>
        <w:t>quantified</w:t>
      </w:r>
      <w:r w:rsidRPr="007F00C7">
        <w:rPr>
          <w:color w:val="000000"/>
        </w:rPr>
        <w:t xml:space="preserve"> these relationships in the equivalent of more than 19,000</w:t>
      </w:r>
      <w:r w:rsidR="00FF7F85" w:rsidRPr="007F00C7">
        <w:rPr>
          <w:color w:val="000000"/>
        </w:rPr>
        <w:t xml:space="preserve"> contiguous</w:t>
      </w:r>
      <w:r w:rsidRPr="007F00C7">
        <w:rPr>
          <w:color w:val="000000"/>
        </w:rPr>
        <w:t xml:space="preserve"> ha-scale plots. Not only did this sample size </w:t>
      </w:r>
      <w:r w:rsidR="008E469F" w:rsidRPr="007F00C7">
        <w:rPr>
          <w:color w:val="000000"/>
        </w:rPr>
        <w:t>exceed</w:t>
      </w:r>
      <w:r w:rsidRPr="007F00C7">
        <w:rPr>
          <w:color w:val="000000"/>
        </w:rPr>
        <w:t xml:space="preserve"> what is feasible with </w:t>
      </w:r>
      <w:r w:rsidR="00AE1E31" w:rsidRPr="007F00C7">
        <w:rPr>
          <w:color w:val="000000"/>
        </w:rPr>
        <w:t>ground-based</w:t>
      </w:r>
      <w:r w:rsidR="008E469F" w:rsidRPr="007F00C7">
        <w:rPr>
          <w:color w:val="000000"/>
        </w:rPr>
        <w:t xml:space="preserve"> </w:t>
      </w:r>
      <w:r w:rsidR="00AE1E31" w:rsidRPr="007F00C7">
        <w:rPr>
          <w:color w:val="000000"/>
        </w:rPr>
        <w:t>approaches</w:t>
      </w:r>
      <w:r w:rsidR="00D92FC8" w:rsidRPr="007F00C7">
        <w:rPr>
          <w:color w:val="000000"/>
        </w:rPr>
        <w:t xml:space="preserve"> alone;</w:t>
      </w:r>
      <w:r w:rsidRPr="007F00C7">
        <w:rPr>
          <w:color w:val="000000"/>
        </w:rPr>
        <w:t xml:space="preserve"> it also included end members of structural and abiotic gradients that are usually </w:t>
      </w:r>
      <w:r w:rsidR="001F7A24" w:rsidRPr="007F00C7">
        <w:rPr>
          <w:color w:val="000000"/>
        </w:rPr>
        <w:t>poorly</w:t>
      </w:r>
      <w:r w:rsidRPr="007F00C7">
        <w:rPr>
          <w:color w:val="000000"/>
        </w:rPr>
        <w:t xml:space="preserve"> represented in field studies.</w:t>
      </w:r>
    </w:p>
    <w:p w14:paraId="00000066" w14:textId="77777777" w:rsidR="001527B5" w:rsidRPr="007F00C7" w:rsidRDefault="00000000">
      <w:pPr>
        <w:pStyle w:val="Heading2"/>
        <w:rPr>
          <w:rFonts w:ascii="Times New Roman" w:hAnsi="Times New Roman" w:cs="Times New Roman"/>
        </w:rPr>
      </w:pPr>
      <w:bookmarkStart w:id="27" w:name="bookmark=id.3as4poj" w:colFirst="0" w:colLast="0"/>
      <w:bookmarkEnd w:id="27"/>
      <w:r w:rsidRPr="007F00C7">
        <w:rPr>
          <w:rFonts w:ascii="Times New Roman" w:hAnsi="Times New Roman" w:cs="Times New Roman"/>
        </w:rPr>
        <w:t>4.1 Continuous estimation of forest structure</w:t>
      </w:r>
    </w:p>
    <w:p w14:paraId="00000067" w14:textId="204D09DF" w:rsidR="001527B5" w:rsidRPr="007F00C7" w:rsidRDefault="00000000">
      <w:pPr>
        <w:pBdr>
          <w:top w:val="nil"/>
          <w:left w:val="nil"/>
          <w:bottom w:val="nil"/>
          <w:right w:val="nil"/>
          <w:between w:val="nil"/>
        </w:pBdr>
        <w:spacing w:after="0" w:line="480" w:lineRule="auto"/>
        <w:ind w:firstLine="720"/>
        <w:jc w:val="both"/>
        <w:rPr>
          <w:color w:val="000000"/>
        </w:rPr>
      </w:pPr>
      <w:r w:rsidRPr="007F00C7">
        <w:rPr>
          <w:color w:val="000000"/>
        </w:rPr>
        <w:t xml:space="preserve">We used a fully automated approach to optimize ITD through the vertical profile from discretized full-waveform LiDAR, validating detection with tree inventory data from mixed-age stands. Our rates of detection (0.96), matching (0.55), and commission error (0.51) between field-observed and model-detected trees compared favorably with those from prior studies. In the original paper describing the Layer Stacking ITD algorithm, </w:t>
      </w:r>
      <w:proofErr w:type="spellStart"/>
      <w:r w:rsidRPr="007F00C7">
        <w:rPr>
          <w:color w:val="000000"/>
        </w:rPr>
        <w:t>Ayrey</w:t>
      </w:r>
      <w:proofErr w:type="spellEnd"/>
      <w:r w:rsidRPr="007F00C7">
        <w:rPr>
          <w:color w:val="000000"/>
        </w:rPr>
        <w:t xml:space="preserve"> et al. (2017) reported detection rates of 0.66–0.89 and commission errors of 0.22–0.53 in conifer forests. They manually matched trees through visual observation and enforced a minimum DBH threshold of 10 cm, while we automated matching and allowed trees as small as 1 cm DBH to be delineated. In their benchmarking analysis of eight tree-detection algorithms, </w:t>
      </w:r>
      <w:proofErr w:type="spellStart"/>
      <w:r w:rsidRPr="007F00C7">
        <w:rPr>
          <w:color w:val="000000"/>
        </w:rPr>
        <w:t>Eysn</w:t>
      </w:r>
      <w:proofErr w:type="spellEnd"/>
      <w:r w:rsidRPr="007F00C7">
        <w:rPr>
          <w:color w:val="000000"/>
        </w:rPr>
        <w:t xml:space="preserve"> et al. (2015) reported a maximum match rate of 0.36 and an extraction rate of 0.55 with 1.6 m ∆Z accuracy and 0.9 m ∆XY accuracy in a mixed-age conifer site, a substantial </w:t>
      </w:r>
      <w:proofErr w:type="spellStart"/>
      <w:r w:rsidRPr="007F00C7">
        <w:rPr>
          <w:color w:val="000000"/>
        </w:rPr>
        <w:t>underdetection</w:t>
      </w:r>
      <w:proofErr w:type="spellEnd"/>
      <w:r w:rsidRPr="007F00C7">
        <w:rPr>
          <w:color w:val="000000"/>
        </w:rPr>
        <w:t xml:space="preserve"> rate compared to our results. Pang et al.</w:t>
      </w:r>
      <w:r w:rsidRPr="007F00C7">
        <w:t xml:space="preserve"> </w:t>
      </w:r>
      <w:r w:rsidRPr="007F00C7">
        <w:lastRenderedPageBreak/>
        <w:t>(</w:t>
      </w:r>
      <w:r w:rsidRPr="007F00C7">
        <w:rPr>
          <w:color w:val="000000"/>
        </w:rPr>
        <w:t xml:space="preserve">2021) reported a match rate of 0.70 on an extraction rate of 1.03 across 10 sites of varying composition. However, their analysis used a minimum height threshold of 4.2 m, while ours was 1.3 m. (Note: neither </w:t>
      </w:r>
      <w:proofErr w:type="spellStart"/>
      <w:r w:rsidRPr="007F00C7">
        <w:rPr>
          <w:color w:val="000000"/>
        </w:rPr>
        <w:t>Eysn</w:t>
      </w:r>
      <w:proofErr w:type="spellEnd"/>
      <w:r w:rsidRPr="007F00C7">
        <w:rPr>
          <w:color w:val="000000"/>
        </w:rPr>
        <w:t xml:space="preserve"> et al. (2015) nor Pang et al. (2021) used the Layer Stacking algorithm for ITD). Our performance statistics confirm the viability of predicting individual-scale tree attributes over a large domain while training on only a small proportion of its trees (Objective 1). This viability may have also depended in part on our stratified field sampling design, which yielded training samples well distributed across multiple environmental and structural gradients. </w:t>
      </w:r>
      <w:r w:rsidR="0012107F" w:rsidRPr="007F00C7">
        <w:rPr>
          <w:color w:val="000000"/>
        </w:rPr>
        <w:t>T</w:t>
      </w:r>
      <w:r w:rsidRPr="007F00C7">
        <w:rPr>
          <w:color w:val="000000"/>
        </w:rPr>
        <w:t xml:space="preserve">hat we were able to extract and match a large proportion of true sub-canopy trees with performance comparable to efforts using stricter height thresholds underscores the advantage of full waveform data (Anderson et al., 2016). Our results support </w:t>
      </w:r>
      <w:proofErr w:type="spellStart"/>
      <w:r w:rsidRPr="007F00C7">
        <w:rPr>
          <w:color w:val="000000"/>
        </w:rPr>
        <w:t>Dalponte</w:t>
      </w:r>
      <w:proofErr w:type="spellEnd"/>
      <w:r w:rsidRPr="007F00C7">
        <w:rPr>
          <w:color w:val="000000"/>
        </w:rPr>
        <w:t xml:space="preserve"> </w:t>
      </w:r>
      <w:r w:rsidRPr="007F00C7">
        <w:t xml:space="preserve">and </w:t>
      </w:r>
      <w:proofErr w:type="spellStart"/>
      <w:r w:rsidRPr="007F00C7">
        <w:t>Coomes</w:t>
      </w:r>
      <w:r w:rsidRPr="007F00C7">
        <w:rPr>
          <w:color w:val="000000"/>
        </w:rPr>
        <w:t>’s</w:t>
      </w:r>
      <w:proofErr w:type="spellEnd"/>
      <w:r w:rsidRPr="007F00C7">
        <w:rPr>
          <w:color w:val="000000"/>
        </w:rPr>
        <w:t xml:space="preserve"> (2016) argument in favor of tree-centric approaches to quantifying forest characteristics, in part because they allow for feature estimation on the same epistemological basis as a field inventory.</w:t>
      </w:r>
    </w:p>
    <w:p w14:paraId="00000068" w14:textId="77777777" w:rsidR="001527B5" w:rsidRPr="007F00C7" w:rsidRDefault="00000000">
      <w:pPr>
        <w:pBdr>
          <w:top w:val="nil"/>
          <w:left w:val="nil"/>
          <w:bottom w:val="nil"/>
          <w:right w:val="nil"/>
          <w:between w:val="nil"/>
        </w:pBdr>
        <w:spacing w:after="0" w:line="480" w:lineRule="auto"/>
        <w:ind w:firstLine="720"/>
        <w:jc w:val="both"/>
        <w:rPr>
          <w:color w:val="000000"/>
        </w:rPr>
      </w:pPr>
      <w:r w:rsidRPr="007F00C7">
        <w:rPr>
          <w:color w:val="000000"/>
        </w:rPr>
        <w:t xml:space="preserve">The Layer Stacking algorithm’s 4% </w:t>
      </w:r>
      <w:proofErr w:type="spellStart"/>
      <w:r w:rsidRPr="007F00C7">
        <w:rPr>
          <w:color w:val="000000"/>
        </w:rPr>
        <w:t>underdetection</w:t>
      </w:r>
      <w:proofErr w:type="spellEnd"/>
      <w:r w:rsidRPr="007F00C7">
        <w:rPr>
          <w:color w:val="000000"/>
        </w:rPr>
        <w:t xml:space="preserve"> rate presumably yielded a </w:t>
      </w:r>
      <w:proofErr w:type="gramStart"/>
      <w:r w:rsidRPr="007F00C7">
        <w:rPr>
          <w:color w:val="000000"/>
        </w:rPr>
        <w:t>low density</w:t>
      </w:r>
      <w:proofErr w:type="gramEnd"/>
      <w:r w:rsidRPr="007F00C7">
        <w:rPr>
          <w:color w:val="000000"/>
        </w:rPr>
        <w:t xml:space="preserve"> bias, particularly in smaller size classes, which in turn could contribute to high QMD and low basal area biases. However, we would expect this secondary effect to be minor because small trees have a weaker influence on QMD and basal area than they do on density (which weights small and large trees equally). While we corrected the total count of trees (§3.2), we were unable to correct the gridded products because we derived those estimates from individual detections.</w:t>
      </w:r>
    </w:p>
    <w:p w14:paraId="00000069" w14:textId="3DAEF66A" w:rsidR="001527B5" w:rsidRPr="007F00C7" w:rsidRDefault="009721C5">
      <w:pPr>
        <w:pBdr>
          <w:top w:val="nil"/>
          <w:left w:val="nil"/>
          <w:bottom w:val="nil"/>
          <w:right w:val="nil"/>
          <w:between w:val="nil"/>
        </w:pBdr>
        <w:spacing w:after="0" w:line="480" w:lineRule="auto"/>
        <w:ind w:firstLine="720"/>
        <w:jc w:val="both"/>
        <w:rPr>
          <w:color w:val="000000"/>
        </w:rPr>
      </w:pPr>
      <w:r w:rsidRPr="007F00C7">
        <w:rPr>
          <w:color w:val="000000"/>
        </w:rPr>
        <w:t xml:space="preserve">Unexpectedly, ITD overestimated median height by 2.1 m across plots and overestimated maximum canopy height (at the 95th percentile) by 0.6 m. LiDAR canopy height estimates are often lower than field measurements because of the </w:t>
      </w:r>
      <w:r w:rsidR="001A0380" w:rsidRPr="007F00C7">
        <w:rPr>
          <w:color w:val="000000"/>
        </w:rPr>
        <w:t>small</w:t>
      </w:r>
      <w:r w:rsidRPr="007F00C7">
        <w:rPr>
          <w:color w:val="000000"/>
        </w:rPr>
        <w:t xml:space="preserve"> probability of laser pulses striking the </w:t>
      </w:r>
      <w:r w:rsidR="00303530" w:rsidRPr="007F00C7">
        <w:rPr>
          <w:color w:val="000000"/>
        </w:rPr>
        <w:t>topmost</w:t>
      </w:r>
      <w:r w:rsidRPr="007F00C7">
        <w:rPr>
          <w:color w:val="000000"/>
        </w:rPr>
        <w:t xml:space="preserve"> point </w:t>
      </w:r>
      <w:r w:rsidR="00C2736F" w:rsidRPr="007F00C7">
        <w:rPr>
          <w:color w:val="000000"/>
        </w:rPr>
        <w:t>of</w:t>
      </w:r>
      <w:r w:rsidRPr="007F00C7">
        <w:rPr>
          <w:color w:val="000000"/>
        </w:rPr>
        <w:t xml:space="preserve"> a crown. Our overestimates were likely the result of three factors: (1) vertical uncertainty in ground returns and in the DEM used to normalize the discretized waveform points, </w:t>
      </w:r>
      <w:r w:rsidRPr="007F00C7">
        <w:rPr>
          <w:color w:val="000000"/>
        </w:rPr>
        <w:lastRenderedPageBreak/>
        <w:t xml:space="preserve">(2) error in hypsometer measurements within the expected vertical accuracy range of </w:t>
      </w:r>
      <w:r w:rsidRPr="007F00C7">
        <w:t>±</w:t>
      </w:r>
      <w:r w:rsidRPr="007F00C7">
        <w:rPr>
          <w:color w:val="000000"/>
        </w:rPr>
        <w:t xml:space="preserve">0.75 m, and (3) </w:t>
      </w:r>
      <w:proofErr w:type="spellStart"/>
      <w:r w:rsidRPr="007F00C7">
        <w:rPr>
          <w:color w:val="000000"/>
        </w:rPr>
        <w:t>underdetection</w:t>
      </w:r>
      <w:proofErr w:type="spellEnd"/>
      <w:r w:rsidRPr="007F00C7">
        <w:rPr>
          <w:color w:val="000000"/>
        </w:rPr>
        <w:t xml:space="preserve"> of smaller trees. In the subset of older, even-aged sites with sparse understories, we substantially underestimated median height, likely because overlapping lower branches of large trees were incorrectly differentiated as smaller individuals (Fig. 3, panel A). Allometry-based QMD was negligibly larger (+1.8 cm) than QMD from field data. While QMD is weighted toward larger trees, underestimates of the number of trees in a stand and overestimates of large tree heights likely both explain this difference.</w:t>
      </w:r>
    </w:p>
    <w:p w14:paraId="0000006A" w14:textId="0E5F70F8" w:rsidR="001527B5" w:rsidRPr="007F00C7" w:rsidRDefault="00000000">
      <w:pPr>
        <w:pBdr>
          <w:top w:val="nil"/>
          <w:left w:val="nil"/>
          <w:bottom w:val="nil"/>
          <w:right w:val="nil"/>
          <w:between w:val="nil"/>
        </w:pBdr>
        <w:spacing w:after="0" w:line="480" w:lineRule="auto"/>
        <w:ind w:firstLine="720"/>
        <w:jc w:val="both"/>
        <w:rPr>
          <w:color w:val="000000"/>
        </w:rPr>
      </w:pPr>
      <w:r w:rsidRPr="007F00C7">
        <w:rPr>
          <w:color w:val="000000"/>
        </w:rPr>
        <w:t xml:space="preserve">One novel contribution of this analysis was our workflow optimizing </w:t>
      </w:r>
      <w:r w:rsidR="00EE0A25" w:rsidRPr="007F00C7">
        <w:rPr>
          <w:color w:val="000000"/>
        </w:rPr>
        <w:t xml:space="preserve">ITD </w:t>
      </w:r>
      <w:r w:rsidRPr="007F00C7">
        <w:rPr>
          <w:color w:val="000000"/>
        </w:rPr>
        <w:t>from massive waveform LiDAR data (</w:t>
      </w:r>
      <w:r w:rsidR="00645DD9" w:rsidRPr="007F00C7">
        <w:rPr>
          <w:color w:val="000000"/>
        </w:rPr>
        <w:t>see Data Availability Statement)</w:t>
      </w:r>
      <w:r w:rsidRPr="007F00C7">
        <w:rPr>
          <w:color w:val="000000"/>
        </w:rPr>
        <w:t>. A critical challenge in large-scale tree mapping is justifying algorithm and parameter</w:t>
      </w:r>
      <w:r w:rsidR="00244439" w:rsidRPr="007F00C7">
        <w:rPr>
          <w:color w:val="000000"/>
        </w:rPr>
        <w:t xml:space="preserve"> selection </w:t>
      </w:r>
      <w:r w:rsidRPr="007F00C7">
        <w:rPr>
          <w:color w:val="000000"/>
        </w:rPr>
        <w:t>for a given site and vegetation type (</w:t>
      </w:r>
      <w:proofErr w:type="spellStart"/>
      <w:r w:rsidRPr="007F00C7">
        <w:rPr>
          <w:color w:val="000000"/>
        </w:rPr>
        <w:t>Eysn</w:t>
      </w:r>
      <w:proofErr w:type="spellEnd"/>
      <w:r w:rsidRPr="007F00C7">
        <w:rPr>
          <w:color w:val="000000"/>
        </w:rPr>
        <w:t xml:space="preserve"> et al., 2015). We addressed this challenge by leveraging a statistical learning </w:t>
      </w:r>
      <w:r w:rsidR="0034098B" w:rsidRPr="007F00C7">
        <w:rPr>
          <w:color w:val="000000"/>
        </w:rPr>
        <w:t>approach</w:t>
      </w:r>
      <w:r w:rsidRPr="007F00C7">
        <w:rPr>
          <w:color w:val="000000"/>
        </w:rPr>
        <w:t>, systematically iterating through multiple algorithms and parameter sets and testing against an objective loss function. While we acknowledge that other ITD algorithms exist, and that others among those we did test may have proven optimal in other domains, we suggest that our workflow offers an example of reproducible ITD for the discipline.</w:t>
      </w:r>
    </w:p>
    <w:p w14:paraId="0000006B" w14:textId="77777777" w:rsidR="001527B5" w:rsidRPr="007F00C7" w:rsidRDefault="00000000">
      <w:pPr>
        <w:pStyle w:val="Heading2"/>
        <w:rPr>
          <w:rFonts w:ascii="Times New Roman" w:hAnsi="Times New Roman" w:cs="Times New Roman"/>
        </w:rPr>
      </w:pPr>
      <w:bookmarkStart w:id="28" w:name="bookmark=id.1pxezwc" w:colFirst="0" w:colLast="0"/>
      <w:bookmarkEnd w:id="28"/>
      <w:r w:rsidRPr="007F00C7">
        <w:rPr>
          <w:rFonts w:ascii="Times New Roman" w:hAnsi="Times New Roman" w:cs="Times New Roman"/>
        </w:rPr>
        <w:t>4.2 Species composition</w:t>
      </w:r>
    </w:p>
    <w:p w14:paraId="0000006C" w14:textId="25843B16" w:rsidR="001527B5" w:rsidRPr="007F00C7" w:rsidRDefault="00000000">
      <w:pPr>
        <w:pBdr>
          <w:top w:val="nil"/>
          <w:left w:val="nil"/>
          <w:bottom w:val="nil"/>
          <w:right w:val="nil"/>
          <w:between w:val="nil"/>
        </w:pBdr>
        <w:spacing w:after="0" w:line="480" w:lineRule="auto"/>
        <w:ind w:firstLine="720"/>
        <w:jc w:val="both"/>
        <w:rPr>
          <w:color w:val="000000"/>
        </w:rPr>
      </w:pPr>
      <w:r w:rsidRPr="007F00C7">
        <w:rPr>
          <w:color w:val="000000"/>
        </w:rPr>
        <w:t xml:space="preserve">Species classification accuracy was highest for spruce and lowest for fir. The largest source of error was the misclassification of fir as spruce. As these species co-occur in high-density, </w:t>
      </w:r>
      <w:proofErr w:type="gramStart"/>
      <w:r w:rsidRPr="007F00C7">
        <w:rPr>
          <w:color w:val="000000"/>
        </w:rPr>
        <w:t>closed-canopy</w:t>
      </w:r>
      <w:proofErr w:type="gramEnd"/>
      <w:r w:rsidRPr="007F00C7">
        <w:rPr>
          <w:color w:val="000000"/>
        </w:rPr>
        <w:t xml:space="preserve"> stands, spectral mixing at the interfaces of intersecting crowns likely accounted for much of this confusion. Further uncertainty derived from positional error in geolocating tree crowns in the field, detecting crowns from LiDAR, and delineating crown polygons. While positional matching fidelity was high for top-of-canopy trees, any error from misalignment between field-observed and LiDAR-derived objects would have propagated into the species </w:t>
      </w:r>
      <w:r w:rsidRPr="007F00C7">
        <w:rPr>
          <w:color w:val="000000"/>
        </w:rPr>
        <w:lastRenderedPageBreak/>
        <w:t xml:space="preserve">assignment. Similarly, to the extent that crown polygons were over- or </w:t>
      </w:r>
      <w:proofErr w:type="spellStart"/>
      <w:r w:rsidRPr="007F00C7">
        <w:rPr>
          <w:color w:val="000000"/>
        </w:rPr>
        <w:t>undersegmented</w:t>
      </w:r>
      <w:proofErr w:type="spellEnd"/>
      <w:r w:rsidRPr="007F00C7">
        <w:rPr>
          <w:color w:val="000000"/>
        </w:rPr>
        <w:t xml:space="preserve">, pixels associated with adjacent trees of another species could have been improperly included in the majority vote. Nevertheless, the spatial pattern of single-species density distributions cohered with expectations: spruce and fir co-occurred throughout the watershed up to </w:t>
      </w:r>
      <w:proofErr w:type="spellStart"/>
      <w:r w:rsidRPr="007F00C7">
        <w:rPr>
          <w:color w:val="000000"/>
        </w:rPr>
        <w:t>treeline</w:t>
      </w:r>
      <w:proofErr w:type="spellEnd"/>
      <w:r w:rsidRPr="007F00C7">
        <w:rPr>
          <w:color w:val="000000"/>
        </w:rPr>
        <w:t>; spruce density exceeded fir density in the canopy top; and pine were largely restricted to lower</w:t>
      </w:r>
      <w:r w:rsidR="006904F2" w:rsidRPr="007F00C7">
        <w:rPr>
          <w:color w:val="000000"/>
        </w:rPr>
        <w:t>-</w:t>
      </w:r>
      <w:r w:rsidRPr="007F00C7">
        <w:rPr>
          <w:color w:val="000000"/>
        </w:rPr>
        <w:t xml:space="preserve">elevation </w:t>
      </w:r>
      <w:r w:rsidR="006F1D76" w:rsidRPr="007F00C7">
        <w:rPr>
          <w:color w:val="000000"/>
        </w:rPr>
        <w:t xml:space="preserve">southerly </w:t>
      </w:r>
      <w:r w:rsidRPr="007F00C7">
        <w:rPr>
          <w:color w:val="000000"/>
        </w:rPr>
        <w:t xml:space="preserve">slopes and areas where disturbance </w:t>
      </w:r>
      <w:r w:rsidR="0044081A" w:rsidRPr="007F00C7">
        <w:rPr>
          <w:color w:val="000000"/>
        </w:rPr>
        <w:t>had</w:t>
      </w:r>
      <w:r w:rsidRPr="007F00C7">
        <w:rPr>
          <w:color w:val="000000"/>
        </w:rPr>
        <w:t xml:space="preserve"> occurred within the last 100 years (Alexander, 1987; Falco et al., 2024b; Whipple and Dix, 1979).</w:t>
      </w:r>
    </w:p>
    <w:p w14:paraId="0000006D" w14:textId="77777777" w:rsidR="001527B5" w:rsidRPr="007F00C7" w:rsidRDefault="00000000">
      <w:pPr>
        <w:pStyle w:val="Heading2"/>
        <w:rPr>
          <w:rFonts w:ascii="Times New Roman" w:hAnsi="Times New Roman" w:cs="Times New Roman"/>
        </w:rPr>
      </w:pPr>
      <w:bookmarkStart w:id="29" w:name="bookmark=id.49x2ik5" w:colFirst="0" w:colLast="0"/>
      <w:bookmarkEnd w:id="29"/>
      <w:r w:rsidRPr="007F00C7">
        <w:rPr>
          <w:rFonts w:ascii="Times New Roman" w:hAnsi="Times New Roman" w:cs="Times New Roman"/>
        </w:rPr>
        <w:t>4.3 Abiotic constraints on stand structure and composition</w:t>
      </w:r>
    </w:p>
    <w:p w14:paraId="0000006E" w14:textId="40EE5502" w:rsidR="001527B5" w:rsidRPr="007F00C7" w:rsidRDefault="00000000">
      <w:pPr>
        <w:pBdr>
          <w:top w:val="nil"/>
          <w:left w:val="nil"/>
          <w:bottom w:val="nil"/>
          <w:right w:val="nil"/>
          <w:between w:val="nil"/>
        </w:pBdr>
        <w:spacing w:after="0" w:line="480" w:lineRule="auto"/>
        <w:ind w:firstLine="720"/>
        <w:jc w:val="both"/>
        <w:rPr>
          <w:color w:val="000000"/>
        </w:rPr>
      </w:pPr>
      <w:r w:rsidRPr="007F00C7">
        <w:rPr>
          <w:color w:val="000000"/>
        </w:rPr>
        <w:t>At the scale of this analysis—hectare units across a 700 km</w:t>
      </w:r>
      <w:r w:rsidRPr="007F00C7">
        <w:rPr>
          <w:color w:val="000000"/>
          <w:vertAlign w:val="superscript"/>
        </w:rPr>
        <w:t>2</w:t>
      </w:r>
      <w:r w:rsidRPr="007F00C7">
        <w:rPr>
          <w:rFonts w:eastAsia="Gungsuh"/>
          <w:color w:val="000000"/>
        </w:rPr>
        <w:t xml:space="preserve"> </w:t>
      </w:r>
      <w:r w:rsidRPr="007F00C7">
        <w:rPr>
          <w:color w:val="000000"/>
        </w:rPr>
        <w:t>watershed—SWE, ∆SWE, and elevation predominated among the multiple interacting influences on conifer stand structure and composition. These variables integrate key aspects of the energy and water balance, but in different ways.</w:t>
      </w:r>
    </w:p>
    <w:p w14:paraId="0000006F" w14:textId="77777777" w:rsidR="001527B5" w:rsidRPr="007F00C7" w:rsidRDefault="00000000">
      <w:pPr>
        <w:pStyle w:val="Heading3"/>
        <w:rPr>
          <w:rFonts w:ascii="Times New Roman" w:hAnsi="Times New Roman" w:cs="Times New Roman"/>
        </w:rPr>
      </w:pPr>
      <w:bookmarkStart w:id="30" w:name="bookmark=id.2p2csry" w:colFirst="0" w:colLast="0"/>
      <w:bookmarkEnd w:id="30"/>
      <w:r w:rsidRPr="007F00C7">
        <w:rPr>
          <w:rFonts w:ascii="Times New Roman" w:hAnsi="Times New Roman" w:cs="Times New Roman"/>
        </w:rPr>
        <w:t>4.3.1 Snow</w:t>
      </w:r>
    </w:p>
    <w:p w14:paraId="00000070" w14:textId="30042DFB" w:rsidR="001527B5" w:rsidRPr="007F00C7" w:rsidRDefault="00000000" w:rsidP="00305964">
      <w:pPr>
        <w:pBdr>
          <w:top w:val="nil"/>
          <w:left w:val="nil"/>
          <w:bottom w:val="nil"/>
          <w:right w:val="nil"/>
          <w:between w:val="nil"/>
        </w:pBdr>
        <w:spacing w:after="0" w:line="480" w:lineRule="auto"/>
        <w:ind w:firstLine="720"/>
        <w:jc w:val="both"/>
        <w:rPr>
          <w:rFonts w:eastAsia="Gungsuh"/>
          <w:color w:val="000000"/>
        </w:rPr>
      </w:pPr>
      <w:r w:rsidRPr="007F00C7">
        <w:rPr>
          <w:rFonts w:eastAsia="Gungsuh"/>
          <w:color w:val="000000"/>
        </w:rPr>
        <w:t xml:space="preserve">The dominance of snow in explaining structural and compositional </w:t>
      </w:r>
      <w:r w:rsidR="00EE0A25" w:rsidRPr="007F00C7">
        <w:rPr>
          <w:rFonts w:eastAsia="Gungsuh"/>
          <w:color w:val="000000"/>
        </w:rPr>
        <w:t>variation</w:t>
      </w:r>
      <w:r w:rsidRPr="007F00C7">
        <w:rPr>
          <w:rFonts w:eastAsia="Gungsuh"/>
          <w:color w:val="000000"/>
        </w:rPr>
        <w:t xml:space="preserve"> in a subalpine forest system </w:t>
      </w:r>
      <w:r w:rsidR="00EE0A25" w:rsidRPr="007F00C7">
        <w:rPr>
          <w:rFonts w:eastAsia="Gungsuh"/>
          <w:color w:val="000000"/>
        </w:rPr>
        <w:t>was</w:t>
      </w:r>
      <w:r w:rsidRPr="007F00C7">
        <w:rPr>
          <w:rFonts w:eastAsia="Gungsuh"/>
          <w:color w:val="000000"/>
        </w:rPr>
        <w:t xml:space="preserve"> a novel</w:t>
      </w:r>
      <w:r w:rsidR="00EE0A25" w:rsidRPr="007F00C7">
        <w:rPr>
          <w:rFonts w:eastAsia="Gungsuh"/>
          <w:color w:val="000000"/>
        </w:rPr>
        <w:t xml:space="preserve"> finding</w:t>
      </w:r>
      <w:r w:rsidRPr="007F00C7">
        <w:rPr>
          <w:rFonts w:eastAsia="Gungsuh"/>
          <w:color w:val="000000"/>
        </w:rPr>
        <w:t>. SWE quantified peak snow water just before the onset of the growing season—the net of wintertime snow input, ablation, and intermittent melt fluxes. ∆SWE, the relative rate of snow disappearance, primarily indexed spring and early summer radiation load</w:t>
      </w:r>
      <w:r w:rsidR="00622D22" w:rsidRPr="007F00C7">
        <w:rPr>
          <w:rFonts w:eastAsia="Gungsuh"/>
          <w:color w:val="000000"/>
        </w:rPr>
        <w:t>.</w:t>
      </w:r>
      <w:r w:rsidRPr="007F00C7">
        <w:rPr>
          <w:rFonts w:eastAsia="Gungsuh"/>
          <w:color w:val="000000"/>
        </w:rPr>
        <w:t xml:space="preserve"> (</w:t>
      </w:r>
      <w:r w:rsidR="00622D22" w:rsidRPr="007F00C7">
        <w:rPr>
          <w:rFonts w:eastAsia="Gungsuh"/>
          <w:color w:val="000000"/>
        </w:rPr>
        <w:t>T</w:t>
      </w:r>
      <w:r w:rsidRPr="007F00C7">
        <w:rPr>
          <w:rFonts w:eastAsia="Gungsuh"/>
          <w:color w:val="000000"/>
        </w:rPr>
        <w:t xml:space="preserve">hese metrics partially </w:t>
      </w:r>
      <w:proofErr w:type="gramStart"/>
      <w:r w:rsidRPr="007F00C7">
        <w:rPr>
          <w:rFonts w:eastAsia="Gungsuh"/>
          <w:color w:val="000000"/>
        </w:rPr>
        <w:t>interact</w:t>
      </w:r>
      <w:r w:rsidR="00622D22" w:rsidRPr="007F00C7">
        <w:rPr>
          <w:rFonts w:eastAsia="Gungsuh"/>
          <w:color w:val="000000"/>
        </w:rPr>
        <w:t>:</w:t>
      </w:r>
      <w:proofErr w:type="gramEnd"/>
      <w:r w:rsidR="00622D22" w:rsidRPr="007F00C7">
        <w:rPr>
          <w:rFonts w:eastAsia="Gungsuh"/>
          <w:color w:val="000000"/>
        </w:rPr>
        <w:t xml:space="preserve"> </w:t>
      </w:r>
      <w:r w:rsidRPr="007F00C7">
        <w:rPr>
          <w:rFonts w:eastAsia="Gungsuh"/>
          <w:color w:val="000000"/>
        </w:rPr>
        <w:t xml:space="preserve">high SWE can be associated with low ∆SWE, as deeper masses of snow self-insulate and melt more slowly). </w:t>
      </w:r>
      <w:r w:rsidR="00713FF2" w:rsidRPr="007F00C7">
        <w:rPr>
          <w:rFonts w:eastAsia="Gungsuh"/>
          <w:color w:val="000000"/>
        </w:rPr>
        <w:t>For basal area, maximum height, QMD, and total density, t</w:t>
      </w:r>
      <w:r w:rsidRPr="007F00C7">
        <w:rPr>
          <w:rFonts w:eastAsia="Gungsuh"/>
          <w:color w:val="000000"/>
        </w:rPr>
        <w:t xml:space="preserve">he rising limb of the SWE curves in low-snow areas </w:t>
      </w:r>
      <w:r w:rsidR="00D12FF7" w:rsidRPr="007F00C7">
        <w:rPr>
          <w:rFonts w:eastAsia="Gungsuh"/>
          <w:color w:val="000000"/>
        </w:rPr>
        <w:t xml:space="preserve">(Fig. </w:t>
      </w:r>
      <w:r w:rsidR="00875C72">
        <w:rPr>
          <w:rFonts w:eastAsia="Gungsuh"/>
          <w:color w:val="000000"/>
        </w:rPr>
        <w:t>8</w:t>
      </w:r>
      <w:r w:rsidR="00D12FF7" w:rsidRPr="007F00C7">
        <w:rPr>
          <w:rFonts w:eastAsia="Gungsuh"/>
          <w:color w:val="000000"/>
        </w:rPr>
        <w:t xml:space="preserve">) </w:t>
      </w:r>
      <w:r w:rsidRPr="007F00C7">
        <w:rPr>
          <w:rFonts w:eastAsia="Gungsuh"/>
          <w:color w:val="000000"/>
        </w:rPr>
        <w:t xml:space="preserve">coheres with other findings that </w:t>
      </w:r>
      <w:r w:rsidR="00D12FF7" w:rsidRPr="007F00C7">
        <w:rPr>
          <w:rFonts w:eastAsia="Gungsuh"/>
          <w:color w:val="000000"/>
        </w:rPr>
        <w:t xml:space="preserve">marginal additional </w:t>
      </w:r>
      <w:r w:rsidRPr="007F00C7">
        <w:rPr>
          <w:rFonts w:eastAsia="Gungsuh"/>
          <w:color w:val="000000"/>
        </w:rPr>
        <w:t xml:space="preserve">SWE </w:t>
      </w:r>
      <w:r w:rsidR="00D12FF7" w:rsidRPr="007F00C7">
        <w:rPr>
          <w:rFonts w:eastAsia="Gungsuh"/>
          <w:color w:val="000000"/>
        </w:rPr>
        <w:t xml:space="preserve">can </w:t>
      </w:r>
      <w:r w:rsidRPr="007F00C7">
        <w:rPr>
          <w:rFonts w:eastAsia="Gungsuh"/>
          <w:color w:val="000000"/>
        </w:rPr>
        <w:t xml:space="preserve">enhance annual tree growth in water-limited </w:t>
      </w:r>
      <w:r w:rsidR="00ED2FE8" w:rsidRPr="007F00C7">
        <w:rPr>
          <w:rFonts w:eastAsia="Gungsuh"/>
          <w:color w:val="000000"/>
        </w:rPr>
        <w:t>locations</w:t>
      </w:r>
      <w:r w:rsidRPr="007F00C7">
        <w:rPr>
          <w:rFonts w:eastAsia="Gungsuh"/>
          <w:color w:val="000000"/>
        </w:rPr>
        <w:t xml:space="preserve"> by providing a reservoir that delay</w:t>
      </w:r>
      <w:r w:rsidR="00D12FF7" w:rsidRPr="007F00C7">
        <w:rPr>
          <w:rFonts w:eastAsia="Gungsuh"/>
          <w:color w:val="000000"/>
        </w:rPr>
        <w:t>s</w:t>
      </w:r>
      <w:r w:rsidRPr="007F00C7">
        <w:rPr>
          <w:rFonts w:eastAsia="Gungsuh"/>
          <w:color w:val="000000"/>
        </w:rPr>
        <w:t xml:space="preserve"> soil </w:t>
      </w:r>
      <w:proofErr w:type="spellStart"/>
      <w:r w:rsidRPr="007F00C7">
        <w:rPr>
          <w:rFonts w:eastAsia="Gungsuh"/>
          <w:color w:val="000000"/>
        </w:rPr>
        <w:t>drydown</w:t>
      </w:r>
      <w:proofErr w:type="spellEnd"/>
      <w:r w:rsidRPr="007F00C7">
        <w:rPr>
          <w:rFonts w:eastAsia="Gungsuh"/>
          <w:color w:val="000000"/>
        </w:rPr>
        <w:t xml:space="preserve"> (</w:t>
      </w:r>
      <w:proofErr w:type="spellStart"/>
      <w:r w:rsidRPr="007F00C7">
        <w:rPr>
          <w:rFonts w:eastAsia="Gungsuh"/>
          <w:color w:val="000000"/>
        </w:rPr>
        <w:t>Coulthard</w:t>
      </w:r>
      <w:proofErr w:type="spellEnd"/>
      <w:r w:rsidRPr="007F00C7">
        <w:rPr>
          <w:rFonts w:eastAsia="Gungsuh"/>
          <w:color w:val="000000"/>
        </w:rPr>
        <w:t xml:space="preserve"> et al., 2021; Hu et al., 2010). This subsidy may have a multiplying effect, as greater snowpack magnitude ha</w:t>
      </w:r>
      <w:r w:rsidR="009B35DB" w:rsidRPr="007F00C7">
        <w:rPr>
          <w:rFonts w:eastAsia="Gungsuh"/>
          <w:color w:val="000000"/>
        </w:rPr>
        <w:t>s</w:t>
      </w:r>
      <w:r w:rsidRPr="007F00C7">
        <w:rPr>
          <w:rFonts w:eastAsia="Gungsuh"/>
          <w:color w:val="000000"/>
        </w:rPr>
        <w:t xml:space="preserve"> been shown to enhance </w:t>
      </w:r>
      <w:r w:rsidRPr="007F00C7">
        <w:rPr>
          <w:rFonts w:eastAsia="Gungsuh"/>
          <w:color w:val="000000"/>
        </w:rPr>
        <w:lastRenderedPageBreak/>
        <w:t>conifers’ capacity to use summer monsoon rain (</w:t>
      </w:r>
      <w:proofErr w:type="spellStart"/>
      <w:r w:rsidRPr="007F00C7">
        <w:rPr>
          <w:rFonts w:eastAsia="Gungsuh"/>
          <w:color w:val="000000"/>
        </w:rPr>
        <w:t>Berkelhammer</w:t>
      </w:r>
      <w:proofErr w:type="spellEnd"/>
      <w:r w:rsidRPr="007F00C7">
        <w:rPr>
          <w:rFonts w:eastAsia="Gungsuh"/>
          <w:color w:val="000000"/>
        </w:rPr>
        <w:t xml:space="preserve"> et al., 2020). However, </w:t>
      </w:r>
      <w:r w:rsidR="0037576D" w:rsidRPr="007F00C7">
        <w:rPr>
          <w:rFonts w:eastAsia="Gungsuh"/>
          <w:color w:val="000000"/>
        </w:rPr>
        <w:t>in</w:t>
      </w:r>
      <w:r w:rsidRPr="007F00C7">
        <w:rPr>
          <w:rFonts w:eastAsia="Gungsuh"/>
          <w:color w:val="000000"/>
        </w:rPr>
        <w:t xml:space="preserve"> the falling limb of the SWE curves (Fig. </w:t>
      </w:r>
      <w:r w:rsidR="00875C72">
        <w:rPr>
          <w:rFonts w:eastAsia="Gungsuh"/>
          <w:color w:val="000000"/>
        </w:rPr>
        <w:t>8</w:t>
      </w:r>
      <w:r w:rsidRPr="007F00C7">
        <w:rPr>
          <w:rFonts w:eastAsia="Gungsuh"/>
          <w:color w:val="000000"/>
        </w:rPr>
        <w:t xml:space="preserve">), deeper snow may impose temperature constraints </w:t>
      </w:r>
      <w:r w:rsidR="00D12FF7" w:rsidRPr="007F00C7">
        <w:rPr>
          <w:rFonts w:eastAsia="Gungsuh"/>
          <w:color w:val="000000"/>
        </w:rPr>
        <w:t>that contract</w:t>
      </w:r>
      <w:r w:rsidRPr="007F00C7">
        <w:rPr>
          <w:rFonts w:eastAsia="Gungsuh"/>
          <w:color w:val="000000"/>
        </w:rPr>
        <w:t xml:space="preserve"> the growing season</w:t>
      </w:r>
      <w:r w:rsidR="00D12FF7" w:rsidRPr="007F00C7">
        <w:rPr>
          <w:rFonts w:eastAsia="Gungsuh"/>
          <w:color w:val="000000"/>
        </w:rPr>
        <w:t xml:space="preserve">, inhibiting </w:t>
      </w:r>
      <w:proofErr w:type="spellStart"/>
      <w:r w:rsidR="00D12FF7" w:rsidRPr="007F00C7">
        <w:rPr>
          <w:rFonts w:eastAsia="Gungsuh"/>
          <w:color w:val="000000"/>
        </w:rPr>
        <w:t>xylogenesis</w:t>
      </w:r>
      <w:proofErr w:type="spellEnd"/>
      <w:r w:rsidR="00D12FF7" w:rsidRPr="007F00C7">
        <w:rPr>
          <w:rFonts w:eastAsia="Gungsuh"/>
          <w:color w:val="000000"/>
        </w:rPr>
        <w:t xml:space="preserve"> and diminishing</w:t>
      </w:r>
      <w:r w:rsidRPr="007F00C7">
        <w:rPr>
          <w:rFonts w:eastAsia="Gungsuh"/>
          <w:color w:val="000000"/>
        </w:rPr>
        <w:t xml:space="preserve"> seedling </w:t>
      </w:r>
      <w:r w:rsidR="00D12FF7" w:rsidRPr="007F00C7">
        <w:rPr>
          <w:rFonts w:eastAsia="Gungsuh"/>
          <w:color w:val="000000"/>
        </w:rPr>
        <w:t>survival</w:t>
      </w:r>
      <w:r w:rsidRPr="007F00C7">
        <w:rPr>
          <w:rFonts w:eastAsia="Gungsuh"/>
          <w:color w:val="000000"/>
        </w:rPr>
        <w:t xml:space="preserve"> (</w:t>
      </w:r>
      <w:proofErr w:type="spellStart"/>
      <w:r w:rsidRPr="007F00C7">
        <w:rPr>
          <w:rFonts w:eastAsia="Gungsuh"/>
          <w:color w:val="000000"/>
        </w:rPr>
        <w:t>Coulthard</w:t>
      </w:r>
      <w:proofErr w:type="spellEnd"/>
      <w:r w:rsidRPr="007F00C7">
        <w:rPr>
          <w:rFonts w:eastAsia="Gungsuh"/>
          <w:color w:val="000000"/>
        </w:rPr>
        <w:t xml:space="preserve"> et al., 2021; </w:t>
      </w:r>
      <w:proofErr w:type="spellStart"/>
      <w:r w:rsidRPr="007F00C7">
        <w:rPr>
          <w:rFonts w:eastAsia="Gungsuh"/>
          <w:color w:val="000000"/>
        </w:rPr>
        <w:t>Littell</w:t>
      </w:r>
      <w:proofErr w:type="spellEnd"/>
      <w:r w:rsidRPr="007F00C7">
        <w:rPr>
          <w:rFonts w:eastAsia="Gungsuh"/>
          <w:color w:val="000000"/>
        </w:rPr>
        <w:t xml:space="preserve"> et al., 2008). </w:t>
      </w:r>
      <w:r w:rsidR="00713FF2" w:rsidRPr="007F00C7">
        <w:rPr>
          <w:rFonts w:eastAsia="Gungsuh"/>
          <w:color w:val="000000"/>
        </w:rPr>
        <w:t xml:space="preserve">The </w:t>
      </w:r>
      <w:r w:rsidR="00305964" w:rsidRPr="007F00C7">
        <w:rPr>
          <w:rFonts w:eastAsia="Gungsuh"/>
          <w:color w:val="000000"/>
        </w:rPr>
        <w:t>shape of</w:t>
      </w:r>
      <w:r w:rsidR="00713FF2" w:rsidRPr="007F00C7">
        <w:rPr>
          <w:rFonts w:eastAsia="Gungsuh"/>
          <w:color w:val="000000"/>
        </w:rPr>
        <w:t xml:space="preserve"> </w:t>
      </w:r>
      <w:r w:rsidR="00305964" w:rsidRPr="007F00C7">
        <w:rPr>
          <w:rFonts w:eastAsia="Gungsuh"/>
          <w:color w:val="000000"/>
        </w:rPr>
        <w:t xml:space="preserve">these </w:t>
      </w:r>
      <w:r w:rsidR="00713FF2" w:rsidRPr="007F00C7">
        <w:rPr>
          <w:rFonts w:eastAsia="Gungsuh"/>
          <w:color w:val="000000"/>
        </w:rPr>
        <w:t xml:space="preserve">relationships points to the existence of </w:t>
      </w:r>
      <w:r w:rsidR="00154D2A" w:rsidRPr="007F00C7">
        <w:rPr>
          <w:rFonts w:eastAsia="Gungsuh"/>
          <w:color w:val="000000"/>
        </w:rPr>
        <w:t xml:space="preserve">a </w:t>
      </w:r>
      <w:r w:rsidR="00713FF2" w:rsidRPr="007F00C7">
        <w:rPr>
          <w:rFonts w:eastAsia="Gungsuh"/>
          <w:color w:val="000000"/>
        </w:rPr>
        <w:t>water-energy limitation threshold in the domain</w:t>
      </w:r>
      <w:r w:rsidR="008323AE" w:rsidRPr="007F00C7">
        <w:rPr>
          <w:rFonts w:eastAsia="Gungsuh"/>
          <w:color w:val="000000"/>
        </w:rPr>
        <w:t>, likely driven by</w:t>
      </w:r>
      <w:r w:rsidRPr="007F00C7">
        <w:rPr>
          <w:rFonts w:eastAsia="Gungsuh"/>
          <w:color w:val="000000"/>
        </w:rPr>
        <w:t xml:space="preserve"> asynchronous and spatially heterogeneous patterns of </w:t>
      </w:r>
      <w:r w:rsidR="008323AE" w:rsidRPr="007F00C7">
        <w:rPr>
          <w:rFonts w:eastAsia="Gungsuh"/>
          <w:color w:val="000000"/>
        </w:rPr>
        <w:t xml:space="preserve">snow </w:t>
      </w:r>
      <w:r w:rsidRPr="007F00C7">
        <w:rPr>
          <w:rFonts w:eastAsia="Gungsuh"/>
          <w:color w:val="000000"/>
        </w:rPr>
        <w:t>and radiati</w:t>
      </w:r>
      <w:r w:rsidR="008323AE" w:rsidRPr="007F00C7">
        <w:rPr>
          <w:rFonts w:eastAsia="Gungsuh"/>
          <w:color w:val="000000"/>
        </w:rPr>
        <w:t xml:space="preserve">on input </w:t>
      </w:r>
      <w:r w:rsidRPr="007F00C7">
        <w:rPr>
          <w:rFonts w:eastAsia="Gungsuh"/>
          <w:color w:val="000000"/>
        </w:rPr>
        <w:t>(Pelletier et al., 2018; Wainwright et al., 2022</w:t>
      </w:r>
      <w:r w:rsidR="00024FF5" w:rsidRPr="007F00C7">
        <w:rPr>
          <w:rFonts w:eastAsia="Gungsuh"/>
          <w:color w:val="000000"/>
        </w:rPr>
        <w:t xml:space="preserve">; </w:t>
      </w:r>
      <w:proofErr w:type="spellStart"/>
      <w:r w:rsidR="00024FF5" w:rsidRPr="007F00C7">
        <w:rPr>
          <w:rFonts w:eastAsia="Gungsuh"/>
          <w:color w:val="000000"/>
        </w:rPr>
        <w:t>Dudney</w:t>
      </w:r>
      <w:proofErr w:type="spellEnd"/>
      <w:r w:rsidR="00024FF5" w:rsidRPr="007F00C7">
        <w:rPr>
          <w:rFonts w:eastAsia="Gungsuh"/>
          <w:color w:val="000000"/>
        </w:rPr>
        <w:t xml:space="preserve"> et al. 2023</w:t>
      </w:r>
      <w:r w:rsidRPr="007F00C7">
        <w:rPr>
          <w:rFonts w:eastAsia="Gungsuh"/>
          <w:color w:val="000000"/>
        </w:rPr>
        <w:t>).</w:t>
      </w:r>
    </w:p>
    <w:p w14:paraId="00000071" w14:textId="470A2FE9" w:rsidR="001527B5" w:rsidRPr="007F00C7" w:rsidRDefault="00000000">
      <w:pPr>
        <w:pBdr>
          <w:top w:val="nil"/>
          <w:left w:val="nil"/>
          <w:bottom w:val="nil"/>
          <w:right w:val="nil"/>
          <w:between w:val="nil"/>
        </w:pBdr>
        <w:spacing w:after="0" w:line="480" w:lineRule="auto"/>
        <w:ind w:firstLine="720"/>
        <w:jc w:val="both"/>
        <w:rPr>
          <w:color w:val="000000"/>
        </w:rPr>
      </w:pPr>
      <w:r w:rsidRPr="007F00C7">
        <w:rPr>
          <w:rFonts w:eastAsia="Gungsuh"/>
          <w:color w:val="000000"/>
        </w:rPr>
        <w:t xml:space="preserve">The linear relationships between ∆SWE and basal area, maximum height, and QMD suggest that longer snowpack persistence (independent of peak depth) may enable the development of larger-statured trees. </w:t>
      </w:r>
      <w:r w:rsidR="00154D2A" w:rsidRPr="007F00C7">
        <w:rPr>
          <w:rFonts w:eastAsia="Gungsuh"/>
          <w:color w:val="000000"/>
        </w:rPr>
        <w:t>Longer snowpack duration was also associated with higher stand density in sites with</w:t>
      </w:r>
      <w:r w:rsidRPr="007F00C7">
        <w:rPr>
          <w:rFonts w:eastAsia="Gungsuh"/>
          <w:color w:val="000000"/>
        </w:rPr>
        <w:t xml:space="preserve"> ∆SWE </w:t>
      </w:r>
      <w:r w:rsidR="00154D2A" w:rsidRPr="007F00C7">
        <w:rPr>
          <w:rFonts w:eastAsia="Gungsuh"/>
          <w:color w:val="000000"/>
        </w:rPr>
        <w:t>above</w:t>
      </w:r>
      <w:r w:rsidRPr="007F00C7">
        <w:rPr>
          <w:rFonts w:eastAsia="Gungsuh"/>
          <w:color w:val="000000"/>
        </w:rPr>
        <w:t xml:space="preserve"> 0.37% d</w:t>
      </w:r>
      <w:r w:rsidR="00D175AB" w:rsidRPr="007F00C7">
        <w:rPr>
          <w:color w:val="000000"/>
          <w:vertAlign w:val="superscript"/>
        </w:rPr>
        <w:t>–1</w:t>
      </w:r>
      <w:r w:rsidRPr="007F00C7">
        <w:rPr>
          <w:rFonts w:eastAsia="Gungsuh"/>
          <w:color w:val="000000"/>
        </w:rPr>
        <w:t>, consistent with the water-subsidy hypothesis. Below the 0.37% d</w:t>
      </w:r>
      <w:r w:rsidR="00D175AB" w:rsidRPr="007F00C7">
        <w:rPr>
          <w:color w:val="000000"/>
          <w:vertAlign w:val="superscript"/>
        </w:rPr>
        <w:t>–1</w:t>
      </w:r>
      <w:r w:rsidRPr="007F00C7">
        <w:rPr>
          <w:rFonts w:eastAsia="Gungsuh"/>
          <w:color w:val="000000"/>
        </w:rPr>
        <w:t xml:space="preserve"> threshold, longer snowpack persistence may have imposed an energy constraint on density. The interactive effect of elevation and ∆SWE on stand density lends support to this interpretation (Fig. 9): the lowest stand densities appeared along a high elevation–long snow persistence frontier (where temperature was likely the dominant constraint on tree productivity) and along a low-elevation–short persistence frontier (where low water was likely the dominant constraint). At the same time, the highest densities occurred along the high elevation–short persistence frontier (where higher radiation driving faster snowmelt likely ameliorated the temperature constraint) and along the low elevation–long persistence frontier (where a durable water subsidy likely ameliorated the moisture constraint).</w:t>
      </w:r>
    </w:p>
    <w:p w14:paraId="00000072" w14:textId="3521BAD5" w:rsidR="001527B5" w:rsidRPr="007F00C7" w:rsidRDefault="00000000">
      <w:pPr>
        <w:pBdr>
          <w:top w:val="nil"/>
          <w:left w:val="nil"/>
          <w:bottom w:val="nil"/>
          <w:right w:val="nil"/>
          <w:between w:val="nil"/>
        </w:pBdr>
        <w:spacing w:after="0" w:line="480" w:lineRule="auto"/>
        <w:ind w:firstLine="720"/>
        <w:jc w:val="both"/>
        <w:rPr>
          <w:color w:val="000000"/>
        </w:rPr>
      </w:pPr>
      <w:r w:rsidRPr="007F00C7">
        <w:rPr>
          <w:color w:val="000000"/>
        </w:rPr>
        <w:t xml:space="preserve">While the interpretation above focuses on the effects of snow dynamics upon stand structure, the mechanistic relationships between these factors run in both directions, with potential </w:t>
      </w:r>
      <w:proofErr w:type="gramStart"/>
      <w:r w:rsidRPr="007F00C7">
        <w:rPr>
          <w:color w:val="000000"/>
        </w:rPr>
        <w:t>feedbacks</w:t>
      </w:r>
      <w:proofErr w:type="gramEnd"/>
      <w:r w:rsidRPr="007F00C7">
        <w:rPr>
          <w:color w:val="000000"/>
        </w:rPr>
        <w:t xml:space="preserve">. For example, by shading snow from incoming shortwave radiation, trees can slow </w:t>
      </w:r>
      <w:r w:rsidRPr="007F00C7">
        <w:rPr>
          <w:color w:val="000000"/>
        </w:rPr>
        <w:lastRenderedPageBreak/>
        <w:t>snowmelt, but as longwave</w:t>
      </w:r>
      <w:r w:rsidRPr="007F00C7">
        <w:rPr>
          <w:rFonts w:eastAsia="Gungsuh"/>
          <w:color w:val="000000"/>
        </w:rPr>
        <w:t xml:space="preserve"> radiating bodies they can hasten it (Lawler and Link, 2011). The net effects depend in part on stand density and scale (Bonner et al., 2022; Lundquist et al., 2013; Veatch et al., 2009). In our results, stand density in sites with short snow persistence (i.e., ∆SWE greater than 0.37% d</w:t>
      </w:r>
      <w:r w:rsidR="00D175AB" w:rsidRPr="007F00C7">
        <w:rPr>
          <w:color w:val="000000"/>
          <w:vertAlign w:val="superscript"/>
        </w:rPr>
        <w:t>–1</w:t>
      </w:r>
      <w:r w:rsidRPr="007F00C7">
        <w:rPr>
          <w:color w:val="000000"/>
        </w:rPr>
        <w:t xml:space="preserve">) likely had a direct positive effect on snowpack duration, such that snow disappeared more slowly in areas of higher density due to shading and wind sheltering. Over time, a persistent water subsidy may have further enhanced stand density development, </w:t>
      </w:r>
      <w:r w:rsidR="00C7754C" w:rsidRPr="007F00C7">
        <w:rPr>
          <w:color w:val="000000"/>
        </w:rPr>
        <w:t>producing</w:t>
      </w:r>
      <w:r w:rsidRPr="007F00C7">
        <w:rPr>
          <w:color w:val="000000"/>
        </w:rPr>
        <w:t xml:space="preserve"> </w:t>
      </w:r>
      <w:proofErr w:type="gramStart"/>
      <w:r w:rsidRPr="007F00C7">
        <w:rPr>
          <w:color w:val="000000"/>
        </w:rPr>
        <w:t>a positive feedback</w:t>
      </w:r>
      <w:proofErr w:type="gramEnd"/>
      <w:r w:rsidRPr="007F00C7">
        <w:rPr>
          <w:color w:val="000000"/>
        </w:rPr>
        <w:t>.</w:t>
      </w:r>
    </w:p>
    <w:p w14:paraId="00000073" w14:textId="1D9D3676" w:rsidR="001527B5" w:rsidRPr="007F00C7" w:rsidRDefault="00000000">
      <w:pPr>
        <w:pBdr>
          <w:top w:val="nil"/>
          <w:left w:val="nil"/>
          <w:bottom w:val="nil"/>
          <w:right w:val="nil"/>
          <w:between w:val="nil"/>
        </w:pBdr>
        <w:spacing w:after="0" w:line="480" w:lineRule="auto"/>
        <w:ind w:firstLine="720"/>
        <w:jc w:val="both"/>
        <w:rPr>
          <w:color w:val="000000"/>
        </w:rPr>
      </w:pPr>
      <w:r w:rsidRPr="007F00C7">
        <w:rPr>
          <w:rFonts w:eastAsia="Gungsuh"/>
          <w:color w:val="000000"/>
        </w:rPr>
        <w:t xml:space="preserve">Species composition appeared to mediate snow-density relationships. Spruce and fir densities </w:t>
      </w:r>
      <w:r w:rsidR="007921E7" w:rsidRPr="007F00C7">
        <w:rPr>
          <w:rFonts w:eastAsia="Gungsuh"/>
          <w:color w:val="000000"/>
        </w:rPr>
        <w:t>were</w:t>
      </w:r>
      <w:r w:rsidRPr="007F00C7">
        <w:rPr>
          <w:rFonts w:eastAsia="Gungsuh"/>
          <w:color w:val="000000"/>
        </w:rPr>
        <w:t xml:space="preserve"> similar</w:t>
      </w:r>
      <w:r w:rsidR="007921E7" w:rsidRPr="007F00C7">
        <w:rPr>
          <w:rFonts w:eastAsia="Gungsuh"/>
          <w:color w:val="000000"/>
        </w:rPr>
        <w:t>ly</w:t>
      </w:r>
      <w:r w:rsidRPr="007F00C7">
        <w:rPr>
          <w:rFonts w:eastAsia="Gungsuh"/>
          <w:color w:val="000000"/>
        </w:rPr>
        <w:t xml:space="preserve"> unimodal </w:t>
      </w:r>
      <w:r w:rsidR="007921E7" w:rsidRPr="007F00C7">
        <w:rPr>
          <w:rFonts w:eastAsia="Gungsuh"/>
          <w:color w:val="000000"/>
        </w:rPr>
        <w:t>functions on</w:t>
      </w:r>
      <w:r w:rsidRPr="007F00C7">
        <w:rPr>
          <w:rFonts w:eastAsia="Gungsuh"/>
          <w:color w:val="000000"/>
        </w:rPr>
        <w:t xml:space="preserve"> SWE and negative linear </w:t>
      </w:r>
      <w:r w:rsidR="007921E7" w:rsidRPr="007F00C7">
        <w:rPr>
          <w:rFonts w:eastAsia="Gungsuh"/>
          <w:color w:val="000000"/>
        </w:rPr>
        <w:t>functions</w:t>
      </w:r>
      <w:r w:rsidRPr="007F00C7">
        <w:rPr>
          <w:rFonts w:eastAsia="Gungsuh"/>
          <w:color w:val="000000"/>
        </w:rPr>
        <w:t xml:space="preserve"> </w:t>
      </w:r>
      <w:r w:rsidR="007921E7" w:rsidRPr="007F00C7">
        <w:rPr>
          <w:rFonts w:eastAsia="Gungsuh"/>
          <w:color w:val="000000"/>
        </w:rPr>
        <w:t>on</w:t>
      </w:r>
      <w:r w:rsidRPr="007F00C7">
        <w:rPr>
          <w:rFonts w:eastAsia="Gungsuh"/>
          <w:color w:val="000000"/>
        </w:rPr>
        <w:t xml:space="preserve"> ∆SWE, </w:t>
      </w:r>
      <w:r w:rsidR="007921E7" w:rsidRPr="007F00C7">
        <w:rPr>
          <w:rFonts w:eastAsia="Gungsuh"/>
          <w:color w:val="000000"/>
        </w:rPr>
        <w:t>but</w:t>
      </w:r>
      <w:r w:rsidRPr="007F00C7">
        <w:rPr>
          <w:rFonts w:eastAsia="Gungsuh"/>
          <w:color w:val="000000"/>
        </w:rPr>
        <w:t xml:space="preserve"> the effects were </w:t>
      </w:r>
      <w:r w:rsidR="007921E7" w:rsidRPr="007F00C7">
        <w:rPr>
          <w:rFonts w:eastAsia="Gungsuh"/>
          <w:color w:val="000000"/>
        </w:rPr>
        <w:t>stronger</w:t>
      </w:r>
      <w:r w:rsidRPr="007F00C7">
        <w:rPr>
          <w:rFonts w:eastAsia="Gungsuh"/>
          <w:color w:val="000000"/>
        </w:rPr>
        <w:t xml:space="preserve"> for spruce than for fir (Fig. 8). The</w:t>
      </w:r>
      <w:r w:rsidR="000A439C" w:rsidRPr="007F00C7">
        <w:rPr>
          <w:rFonts w:eastAsia="Gungsuh"/>
          <w:color w:val="000000"/>
        </w:rPr>
        <w:t xml:space="preserve"> departure of the</w:t>
      </w:r>
      <w:r w:rsidRPr="007F00C7">
        <w:rPr>
          <w:rFonts w:eastAsia="Gungsuh"/>
          <w:color w:val="000000"/>
        </w:rPr>
        <w:t xml:space="preserve"> pine density</w:t>
      </w:r>
      <w:r w:rsidR="0011595C" w:rsidRPr="007F00C7">
        <w:rPr>
          <w:rFonts w:eastAsia="Gungsuh"/>
          <w:color w:val="000000"/>
        </w:rPr>
        <w:t>–</w:t>
      </w:r>
      <w:r w:rsidRPr="007F00C7">
        <w:rPr>
          <w:rFonts w:eastAsia="Gungsuh"/>
          <w:color w:val="000000"/>
        </w:rPr>
        <w:t xml:space="preserve">SWE relationship from these patterns was consistent with our expectations that pine would dominate xeric positions, while spruce-fir would dominate higher-elevation positions with greater snow input and longer residence times. </w:t>
      </w:r>
      <w:r w:rsidRPr="007F00C7">
        <w:rPr>
          <w:i/>
          <w:color w:val="000000"/>
        </w:rPr>
        <w:t>P. contorta</w:t>
      </w:r>
      <w:r w:rsidRPr="007F00C7">
        <w:rPr>
          <w:color w:val="000000"/>
        </w:rPr>
        <w:t xml:space="preserve"> is a relatively drought-tolerant species and competes well on high-radiation, low-moisture sites, but it is shade-intolerant and competes poorly where spruce and fir are abundant (Veblen, 1986).</w:t>
      </w:r>
    </w:p>
    <w:p w14:paraId="00000074" w14:textId="77777777" w:rsidR="001527B5" w:rsidRPr="007F00C7" w:rsidRDefault="00000000">
      <w:pPr>
        <w:pStyle w:val="Heading3"/>
        <w:rPr>
          <w:rFonts w:ascii="Times New Roman" w:hAnsi="Times New Roman" w:cs="Times New Roman"/>
        </w:rPr>
      </w:pPr>
      <w:bookmarkStart w:id="31" w:name="bookmark=id.147n2zr" w:colFirst="0" w:colLast="0"/>
      <w:bookmarkEnd w:id="31"/>
      <w:r w:rsidRPr="007F00C7">
        <w:rPr>
          <w:rFonts w:ascii="Times New Roman" w:hAnsi="Times New Roman" w:cs="Times New Roman"/>
        </w:rPr>
        <w:t>4.3.2 Topography</w:t>
      </w:r>
    </w:p>
    <w:p w14:paraId="00000076" w14:textId="0754AB87" w:rsidR="001527B5" w:rsidRPr="007F00C7" w:rsidRDefault="00000000" w:rsidP="009243F2">
      <w:pPr>
        <w:pBdr>
          <w:top w:val="nil"/>
          <w:left w:val="nil"/>
          <w:bottom w:val="nil"/>
          <w:right w:val="nil"/>
          <w:between w:val="nil"/>
        </w:pBdr>
        <w:spacing w:after="0" w:line="480" w:lineRule="auto"/>
        <w:ind w:firstLine="720"/>
        <w:jc w:val="both"/>
        <w:rPr>
          <w:color w:val="000000"/>
        </w:rPr>
      </w:pPr>
      <w:r w:rsidRPr="007F00C7">
        <w:rPr>
          <w:color w:val="000000"/>
        </w:rPr>
        <w:t xml:space="preserve">Along the elevation gradient, the maxima of the partial-effects curves for maximum height, QMD, basal area, and density all occurred between 3000 and 3200 </w:t>
      </w:r>
      <w:proofErr w:type="spellStart"/>
      <w:r w:rsidRPr="007F00C7">
        <w:rPr>
          <w:color w:val="000000"/>
        </w:rPr>
        <w:t>m.a.s.l</w:t>
      </w:r>
      <w:proofErr w:type="spellEnd"/>
      <w:r w:rsidRPr="007F00C7">
        <w:rPr>
          <w:color w:val="000000"/>
        </w:rPr>
        <w:t xml:space="preserve">. This result matches </w:t>
      </w:r>
      <w:r w:rsidR="007A7E59" w:rsidRPr="007F00C7">
        <w:rPr>
          <w:color w:val="000000"/>
        </w:rPr>
        <w:t>findings from prior process-based modeling stud</w:t>
      </w:r>
      <w:r w:rsidR="009E489A" w:rsidRPr="007F00C7">
        <w:rPr>
          <w:color w:val="000000"/>
        </w:rPr>
        <w:t>ies</w:t>
      </w:r>
      <w:r w:rsidR="007A7E59" w:rsidRPr="007F00C7">
        <w:rPr>
          <w:color w:val="000000"/>
        </w:rPr>
        <w:t xml:space="preserve"> in this watershed, which reported</w:t>
      </w:r>
      <w:r w:rsidRPr="007F00C7">
        <w:rPr>
          <w:color w:val="000000"/>
        </w:rPr>
        <w:t xml:space="preserve"> maximum conifer density </w:t>
      </w:r>
      <w:r w:rsidR="008C57BB" w:rsidRPr="007F00C7">
        <w:rPr>
          <w:color w:val="000000"/>
        </w:rPr>
        <w:t>at</w:t>
      </w:r>
      <w:r w:rsidRPr="007F00C7">
        <w:rPr>
          <w:color w:val="000000"/>
        </w:rPr>
        <w:t xml:space="preserve"> the same elevation (Carroll et al., 2024, 2022). It also broadly coheres with findings of a non-linear elevational influence on maximum canopy height (Fricker et al., 2019) and maximum density (Greenberg et al., 2009) in the Sierra N</w:t>
      </w:r>
      <w:r w:rsidRPr="007F00C7">
        <w:t>evada</w:t>
      </w:r>
      <w:r w:rsidRPr="007F00C7">
        <w:rPr>
          <w:color w:val="000000"/>
        </w:rPr>
        <w:t xml:space="preserve">, although our maximum occurred roughly 1000 m higher than in those studies, squarely within the Rocky Mountain </w:t>
      </w:r>
      <w:r w:rsidRPr="007F00C7">
        <w:rPr>
          <w:color w:val="000000"/>
        </w:rPr>
        <w:lastRenderedPageBreak/>
        <w:t xml:space="preserve">subalpine zone. Whether energy or moisture contributes more to this band of high site potential is uncertain. The adiabatic process tends to produce both warmer and drier conditions at lower elevations and colder, wetter conditions at higher elevations, although these trends can be mediated by other </w:t>
      </w:r>
      <w:proofErr w:type="spellStart"/>
      <w:r w:rsidRPr="007F00C7">
        <w:rPr>
          <w:color w:val="000000"/>
        </w:rPr>
        <w:t>topoclimatic</w:t>
      </w:r>
      <w:proofErr w:type="spellEnd"/>
      <w:r w:rsidRPr="007F00C7">
        <w:rPr>
          <w:color w:val="000000"/>
        </w:rPr>
        <w:t xml:space="preserve"> factors. </w:t>
      </w:r>
      <w:r w:rsidR="009B578B" w:rsidRPr="007F00C7">
        <w:rPr>
          <w:color w:val="000000"/>
        </w:rPr>
        <w:t>The prior modeling</w:t>
      </w:r>
      <w:r w:rsidRPr="007F00C7">
        <w:rPr>
          <w:color w:val="000000"/>
        </w:rPr>
        <w:t xml:space="preserve"> work in this watershed has identified a water-energy limitation threshold in low-precipitation years within this elevational range (Carroll et al., 2024, 2022). Moreover, the domain’s highest summer groundwater losses (Carroll et al., 2024) and maximum annual AET occur around 3100 m, suggesting that stands sustain a larger </w:t>
      </w:r>
      <w:proofErr w:type="spellStart"/>
      <w:r w:rsidRPr="007F00C7">
        <w:rPr>
          <w:color w:val="000000"/>
        </w:rPr>
        <w:t>evapotranspirative</w:t>
      </w:r>
      <w:proofErr w:type="spellEnd"/>
      <w:r w:rsidRPr="007F00C7">
        <w:rPr>
          <w:color w:val="000000"/>
        </w:rPr>
        <w:t xml:space="preserve"> flux during the growing season </w:t>
      </w:r>
      <w:r w:rsidR="00A7796A">
        <w:rPr>
          <w:color w:val="000000"/>
        </w:rPr>
        <w:t>at this elevation</w:t>
      </w:r>
      <w:r w:rsidRPr="007F00C7">
        <w:rPr>
          <w:color w:val="000000"/>
        </w:rPr>
        <w:t xml:space="preserve"> than elsewhere. This elevation range may therefore support </w:t>
      </w:r>
      <w:r w:rsidR="004C14AD" w:rsidRPr="007F00C7">
        <w:rPr>
          <w:color w:val="000000"/>
        </w:rPr>
        <w:t xml:space="preserve">the domain’s most </w:t>
      </w:r>
      <w:r w:rsidRPr="007F00C7">
        <w:rPr>
          <w:color w:val="000000"/>
        </w:rPr>
        <w:t>ecohydrologically optimal</w:t>
      </w:r>
      <w:r w:rsidRPr="007F00C7">
        <w:t xml:space="preserve"> </w:t>
      </w:r>
      <w:r w:rsidRPr="007F00C7">
        <w:rPr>
          <w:color w:val="000000"/>
        </w:rPr>
        <w:t>conditions</w:t>
      </w:r>
      <w:r w:rsidR="00F522E6" w:rsidRPr="007F00C7">
        <w:t>, i.e.,</w:t>
      </w:r>
      <w:r w:rsidRPr="007F00C7">
        <w:rPr>
          <w:color w:val="000000"/>
        </w:rPr>
        <w:t xml:space="preserve"> </w:t>
      </w:r>
      <w:r w:rsidR="009D652A" w:rsidRPr="007F00C7">
        <w:rPr>
          <w:color w:val="000000"/>
        </w:rPr>
        <w:t xml:space="preserve">the best balance </w:t>
      </w:r>
      <w:r w:rsidR="009D652A" w:rsidRPr="007F00C7">
        <w:t>of</w:t>
      </w:r>
      <w:r w:rsidRPr="007F00C7">
        <w:t xml:space="preserve"> water availability and evaporative demand for tree productivity (</w:t>
      </w:r>
      <w:proofErr w:type="spellStart"/>
      <w:r w:rsidRPr="007F00C7">
        <w:t>Roebroek</w:t>
      </w:r>
      <w:proofErr w:type="spellEnd"/>
      <w:r w:rsidRPr="007F00C7">
        <w:t xml:space="preserve"> et al. 2020)</w:t>
      </w:r>
      <w:r w:rsidRPr="007F00C7">
        <w:rPr>
          <w:color w:val="000000"/>
        </w:rPr>
        <w:t>.</w:t>
      </w:r>
      <w:r w:rsidR="009243F2" w:rsidRPr="007F00C7">
        <w:rPr>
          <w:color w:val="000000"/>
        </w:rPr>
        <w:t xml:space="preserve"> </w:t>
      </w:r>
      <w:r w:rsidRPr="007F00C7">
        <w:rPr>
          <w:color w:val="000000"/>
        </w:rPr>
        <w:t xml:space="preserve">This said, </w:t>
      </w:r>
      <w:r w:rsidR="009243F2" w:rsidRPr="007F00C7">
        <w:rPr>
          <w:color w:val="000000"/>
        </w:rPr>
        <w:t>t</w:t>
      </w:r>
      <w:r w:rsidRPr="007F00C7">
        <w:rPr>
          <w:color w:val="000000"/>
        </w:rPr>
        <w:t xml:space="preserve">he greatest canopy height and QMD </w:t>
      </w:r>
      <w:r w:rsidR="009243F2" w:rsidRPr="007F00C7">
        <w:rPr>
          <w:color w:val="000000"/>
        </w:rPr>
        <w:t xml:space="preserve">also </w:t>
      </w:r>
      <w:r w:rsidRPr="007F00C7">
        <w:rPr>
          <w:color w:val="000000"/>
        </w:rPr>
        <w:t>occurred where high heat load coincided with high SWE</w:t>
      </w:r>
      <w:r w:rsidR="009243F2" w:rsidRPr="007F00C7">
        <w:rPr>
          <w:color w:val="000000"/>
        </w:rPr>
        <w:t xml:space="preserve">, while the greatest basal area occurred </w:t>
      </w:r>
      <w:r w:rsidR="00202AD8" w:rsidRPr="007F00C7">
        <w:rPr>
          <w:color w:val="000000"/>
        </w:rPr>
        <w:t>in</w:t>
      </w:r>
      <w:r w:rsidR="009243F2" w:rsidRPr="007F00C7">
        <w:rPr>
          <w:color w:val="000000"/>
        </w:rPr>
        <w:t xml:space="preserve"> low- to mid-slope topographic positions with slow snow disappearance rates (Fig. 9), suggesting that other topographic factors can interact to produce high-potential conditions.</w:t>
      </w:r>
    </w:p>
    <w:p w14:paraId="00000077" w14:textId="77777777" w:rsidR="001527B5" w:rsidRPr="007F00C7" w:rsidRDefault="00000000">
      <w:pPr>
        <w:pStyle w:val="Heading3"/>
        <w:rPr>
          <w:rFonts w:ascii="Times New Roman" w:hAnsi="Times New Roman" w:cs="Times New Roman"/>
        </w:rPr>
      </w:pPr>
      <w:bookmarkStart w:id="32" w:name="bookmark=id.3o7alnk" w:colFirst="0" w:colLast="0"/>
      <w:bookmarkEnd w:id="32"/>
      <w:r w:rsidRPr="007F00C7">
        <w:rPr>
          <w:rFonts w:ascii="Times New Roman" w:hAnsi="Times New Roman" w:cs="Times New Roman"/>
        </w:rPr>
        <w:t>4.3.3 Substrate</w:t>
      </w:r>
    </w:p>
    <w:p w14:paraId="00000078" w14:textId="207E4BDA" w:rsidR="001527B5" w:rsidRPr="007F00C7" w:rsidRDefault="00000000">
      <w:pPr>
        <w:pBdr>
          <w:top w:val="nil"/>
          <w:left w:val="nil"/>
          <w:bottom w:val="nil"/>
          <w:right w:val="nil"/>
          <w:between w:val="nil"/>
        </w:pBdr>
        <w:spacing w:after="0" w:line="480" w:lineRule="auto"/>
        <w:ind w:firstLine="720"/>
        <w:jc w:val="both"/>
        <w:rPr>
          <w:color w:val="000000"/>
        </w:rPr>
      </w:pPr>
      <w:r w:rsidRPr="007F00C7">
        <w:rPr>
          <w:color w:val="000000"/>
        </w:rPr>
        <w:t xml:space="preserve">Other researchers have reported moderate effects of soil horizon thickness, pH, moisture, and parent material on conifer stand </w:t>
      </w:r>
      <w:r w:rsidR="00F522E6" w:rsidRPr="007F00C7">
        <w:rPr>
          <w:color w:val="000000"/>
        </w:rPr>
        <w:t>characteristics</w:t>
      </w:r>
      <w:r w:rsidRPr="007F00C7">
        <w:rPr>
          <w:color w:val="000000"/>
        </w:rPr>
        <w:t xml:space="preserve"> (Bruckner et al., 1999; Fricker et al., 2019; Meyer et al., 2007). The substrate factors we expected to be influential—</w:t>
      </w:r>
      <w:r w:rsidR="00F522E6" w:rsidRPr="007F00C7">
        <w:rPr>
          <w:color w:val="000000"/>
        </w:rPr>
        <w:t xml:space="preserve">AWC </w:t>
      </w:r>
      <w:r w:rsidRPr="007F00C7">
        <w:rPr>
          <w:color w:val="000000"/>
        </w:rPr>
        <w:t xml:space="preserve">and geologic parent material—were tertiary to climate and topographic factors. Our geological categories captured broad differences in geochemistry, fracturing potential, and substrate age, but they did not differentiate </w:t>
      </w:r>
      <w:r w:rsidR="00C26FC7" w:rsidRPr="007F00C7">
        <w:rPr>
          <w:color w:val="000000"/>
        </w:rPr>
        <w:t>all</w:t>
      </w:r>
      <w:r w:rsidRPr="007F00C7">
        <w:rPr>
          <w:color w:val="000000"/>
        </w:rPr>
        <w:t xml:space="preserve"> the important lithologic constraints on tree growth. For instance, there was no dataset available quantifying fine-scale groundwater storage or flow in this domain</w:t>
      </w:r>
      <w:r w:rsidRPr="007F00C7">
        <w:t>.</w:t>
      </w:r>
      <w:r w:rsidRPr="007F00C7">
        <w:rPr>
          <w:color w:val="000000"/>
        </w:rPr>
        <w:t xml:space="preserve"> Altho</w:t>
      </w:r>
      <w:r w:rsidRPr="007F00C7">
        <w:t xml:space="preserve">ugh evidence suggests that the shallow-rooting conifer species </w:t>
      </w:r>
      <w:r w:rsidR="009477E5" w:rsidRPr="007F00C7">
        <w:t>in this study</w:t>
      </w:r>
      <w:r w:rsidRPr="007F00C7">
        <w:t xml:space="preserve"> typically do not access </w:t>
      </w:r>
      <w:r w:rsidRPr="007F00C7">
        <w:lastRenderedPageBreak/>
        <w:t>bedrock water (</w:t>
      </w:r>
      <w:proofErr w:type="spellStart"/>
      <w:r w:rsidRPr="007F00C7">
        <w:t>Langs</w:t>
      </w:r>
      <w:proofErr w:type="spellEnd"/>
      <w:r w:rsidRPr="007F00C7">
        <w:t xml:space="preserve"> et al. 2020), and that subalpine conifers</w:t>
      </w:r>
      <w:r w:rsidR="0062194A" w:rsidRPr="007F00C7">
        <w:t xml:space="preserve"> in general</w:t>
      </w:r>
      <w:r w:rsidRPr="007F00C7">
        <w:t xml:space="preserve"> exhibit limited source plasticity</w:t>
      </w:r>
      <w:r w:rsidR="00FC262D" w:rsidRPr="007F00C7">
        <w:t xml:space="preserve"> between soil and rock water</w:t>
      </w:r>
      <w:r w:rsidRPr="007F00C7">
        <w:t xml:space="preserve"> (Goodwin et al. 2023), d</w:t>
      </w:r>
      <w:r w:rsidRPr="007F00C7">
        <w:rPr>
          <w:color w:val="000000"/>
        </w:rPr>
        <w:t xml:space="preserve">eveloping such a dataset </w:t>
      </w:r>
      <w:r w:rsidRPr="007F00C7">
        <w:t>through</w:t>
      </w:r>
      <w:r w:rsidRPr="007F00C7">
        <w:rPr>
          <w:color w:val="000000"/>
        </w:rPr>
        <w:t xml:space="preserve"> ecohydrological </w:t>
      </w:r>
      <w:r w:rsidRPr="007F00C7">
        <w:t>modeling</w:t>
      </w:r>
      <w:r w:rsidRPr="007F00C7">
        <w:rPr>
          <w:color w:val="000000"/>
        </w:rPr>
        <w:t xml:space="preserve"> or gravimetric remote sensing (e.g. GRACE-FO) could improve our understanding of the variation in stand structure not explained by climate or surface </w:t>
      </w:r>
      <w:r w:rsidRPr="007F00C7">
        <w:t>components of the water balance</w:t>
      </w:r>
      <w:r w:rsidRPr="007F00C7">
        <w:rPr>
          <w:color w:val="000000"/>
        </w:rPr>
        <w:t>.</w:t>
      </w:r>
    </w:p>
    <w:p w14:paraId="00000079" w14:textId="77777777" w:rsidR="001527B5" w:rsidRPr="007F00C7" w:rsidRDefault="00000000">
      <w:pPr>
        <w:pStyle w:val="Heading1"/>
        <w:rPr>
          <w:rFonts w:ascii="Times New Roman" w:hAnsi="Times New Roman" w:cs="Times New Roman"/>
        </w:rPr>
      </w:pPr>
      <w:bookmarkStart w:id="33" w:name="bookmark=id.23ckvvd" w:colFirst="0" w:colLast="0"/>
      <w:bookmarkEnd w:id="33"/>
      <w:r w:rsidRPr="007F00C7">
        <w:rPr>
          <w:rFonts w:ascii="Times New Roman" w:hAnsi="Times New Roman" w:cs="Times New Roman"/>
        </w:rPr>
        <w:t>5. Conclusions</w:t>
      </w:r>
    </w:p>
    <w:p w14:paraId="0000007B" w14:textId="75BEB28A" w:rsidR="001527B5" w:rsidRPr="007F00C7" w:rsidRDefault="00000000" w:rsidP="00FF1ECA">
      <w:pPr>
        <w:pBdr>
          <w:top w:val="nil"/>
          <w:left w:val="nil"/>
          <w:bottom w:val="nil"/>
          <w:right w:val="nil"/>
          <w:between w:val="nil"/>
        </w:pBdr>
        <w:spacing w:after="0" w:line="480" w:lineRule="auto"/>
        <w:ind w:firstLine="720"/>
        <w:jc w:val="both"/>
        <w:rPr>
          <w:color w:val="000000"/>
        </w:rPr>
      </w:pPr>
      <w:r w:rsidRPr="007F00C7">
        <w:rPr>
          <w:color w:val="000000"/>
        </w:rPr>
        <w:t>To our knowledge, this paper is the first to evaluate abiotic influences on a complement of conifer forest structural and compositional characteristics on a spatially continuous basis at watershed scale. We have made original methodological contributions in developing a wor</w:t>
      </w:r>
      <w:r w:rsidRPr="007F00C7">
        <w:t>kf</w:t>
      </w:r>
      <w:r w:rsidRPr="007F00C7">
        <w:rPr>
          <w:color w:val="000000"/>
        </w:rPr>
        <w:t xml:space="preserve">low for systematically training and validating a large suite of ITD algorithms and parameter permutations against an objective loss function. This approach could be </w:t>
      </w:r>
      <w:r w:rsidR="00B80CB3" w:rsidRPr="007F00C7">
        <w:rPr>
          <w:color w:val="000000"/>
        </w:rPr>
        <w:t>applied to</w:t>
      </w:r>
      <w:r w:rsidRPr="007F00C7">
        <w:rPr>
          <w:color w:val="000000"/>
        </w:rPr>
        <w:t xml:space="preserve"> benchmark new ITD algorithms and </w:t>
      </w:r>
      <w:r w:rsidR="00FA3D73" w:rsidRPr="007F00C7">
        <w:rPr>
          <w:color w:val="000000"/>
        </w:rPr>
        <w:t xml:space="preserve">to </w:t>
      </w:r>
      <w:r w:rsidRPr="007F00C7">
        <w:rPr>
          <w:color w:val="000000"/>
        </w:rPr>
        <w:t>validat</w:t>
      </w:r>
      <w:r w:rsidR="00FA55E7" w:rsidRPr="007F00C7">
        <w:rPr>
          <w:color w:val="000000"/>
        </w:rPr>
        <w:t>e</w:t>
      </w:r>
      <w:r w:rsidRPr="007F00C7">
        <w:rPr>
          <w:color w:val="000000"/>
        </w:rPr>
        <w:t xml:space="preserve"> spaceborne LiDAR acquisitions, including NASA GEDI products.</w:t>
      </w:r>
      <w:r w:rsidR="00FF1ECA" w:rsidRPr="007F00C7">
        <w:rPr>
          <w:color w:val="000000"/>
        </w:rPr>
        <w:t xml:space="preserve"> </w:t>
      </w:r>
      <w:r w:rsidRPr="007F00C7">
        <w:rPr>
          <w:color w:val="000000"/>
        </w:rPr>
        <w:t>Our inferential analyses demonstrate</w:t>
      </w:r>
      <w:r w:rsidR="00FF1ECA" w:rsidRPr="007F00C7">
        <w:rPr>
          <w:color w:val="000000"/>
        </w:rPr>
        <w:t>d</w:t>
      </w:r>
      <w:r w:rsidRPr="007F00C7">
        <w:rPr>
          <w:color w:val="000000"/>
        </w:rPr>
        <w:t xml:space="preserve"> that stand structure and composition are associated with a complex system of interactions dominated by snow and elevation. The primacy of snow dynamics is an important finding not </w:t>
      </w:r>
      <w:r w:rsidR="00FF1ECA" w:rsidRPr="007F00C7">
        <w:rPr>
          <w:color w:val="000000"/>
        </w:rPr>
        <w:t xml:space="preserve">well </w:t>
      </w:r>
      <w:r w:rsidR="003262DA" w:rsidRPr="007F00C7">
        <w:rPr>
          <w:color w:val="000000"/>
        </w:rPr>
        <w:t>document</w:t>
      </w:r>
      <w:r w:rsidR="00E03720" w:rsidRPr="007F00C7">
        <w:rPr>
          <w:color w:val="000000"/>
        </w:rPr>
        <w:t>ed</w:t>
      </w:r>
      <w:r w:rsidR="00FF1ECA" w:rsidRPr="007F00C7">
        <w:rPr>
          <w:color w:val="000000"/>
        </w:rPr>
        <w:t xml:space="preserve"> in the literature</w:t>
      </w:r>
      <w:r w:rsidRPr="007F00C7">
        <w:rPr>
          <w:color w:val="000000"/>
        </w:rPr>
        <w:t xml:space="preserve">. In some cases, our inferences were limited. For instance, with instantaneous stand structural metrics, we did not account for disturbance or stand development processes. Nor did we infer the </w:t>
      </w:r>
      <w:r w:rsidRPr="007F00C7">
        <w:t>causal direction</w:t>
      </w:r>
      <w:r w:rsidRPr="007F00C7">
        <w:rPr>
          <w:color w:val="000000"/>
        </w:rPr>
        <w:t xml:space="preserve"> of snow-structure relationships. Further</w:t>
      </w:r>
      <w:r w:rsidR="00E03720" w:rsidRPr="007F00C7">
        <w:rPr>
          <w:color w:val="000000"/>
        </w:rPr>
        <w:t xml:space="preserve"> </w:t>
      </w:r>
      <w:r w:rsidRPr="007F00C7">
        <w:rPr>
          <w:color w:val="000000"/>
        </w:rPr>
        <w:t>measurement</w:t>
      </w:r>
      <w:r w:rsidR="00E03720" w:rsidRPr="007F00C7">
        <w:rPr>
          <w:color w:val="000000"/>
        </w:rPr>
        <w:t>s</w:t>
      </w:r>
      <w:r w:rsidRPr="007F00C7">
        <w:rPr>
          <w:color w:val="000000"/>
        </w:rPr>
        <w:t xml:space="preserve"> of site soil moisture, interannual tree growth, subsurface water storage, and snowpack dynamics could help to clarify these processes.</w:t>
      </w:r>
    </w:p>
    <w:p w14:paraId="0000007C" w14:textId="2ED4F432" w:rsidR="001527B5" w:rsidRPr="007F00C7" w:rsidRDefault="00000000" w:rsidP="005D0C97">
      <w:pPr>
        <w:pBdr>
          <w:top w:val="nil"/>
          <w:left w:val="nil"/>
          <w:bottom w:val="nil"/>
          <w:right w:val="nil"/>
          <w:between w:val="nil"/>
        </w:pBdr>
        <w:spacing w:after="0" w:line="480" w:lineRule="auto"/>
        <w:ind w:firstLine="720"/>
        <w:rPr>
          <w:color w:val="000000"/>
        </w:rPr>
      </w:pPr>
      <w:r w:rsidRPr="007F00C7">
        <w:rPr>
          <w:color w:val="000000"/>
        </w:rPr>
        <w:t xml:space="preserve">Over the past two decades, Southern Rocky Mountain forests have experienced warmer and drier conditions than in any prior period in the last millennium (Williams et al., 2022). Given the evident importance of snow </w:t>
      </w:r>
      <w:r w:rsidR="00E14314" w:rsidRPr="007F00C7">
        <w:rPr>
          <w:color w:val="000000"/>
        </w:rPr>
        <w:t xml:space="preserve">to the </w:t>
      </w:r>
      <w:r w:rsidRPr="007F00C7">
        <w:rPr>
          <w:color w:val="000000"/>
        </w:rPr>
        <w:t>structur</w:t>
      </w:r>
      <w:r w:rsidR="00E14314" w:rsidRPr="007F00C7">
        <w:rPr>
          <w:color w:val="000000"/>
        </w:rPr>
        <w:t>e</w:t>
      </w:r>
      <w:r w:rsidRPr="007F00C7">
        <w:rPr>
          <w:color w:val="000000"/>
        </w:rPr>
        <w:t xml:space="preserve"> and composition</w:t>
      </w:r>
      <w:r w:rsidR="00E14314" w:rsidRPr="007F00C7">
        <w:rPr>
          <w:color w:val="000000"/>
        </w:rPr>
        <w:t xml:space="preserve"> of these forests</w:t>
      </w:r>
      <w:r w:rsidRPr="007F00C7">
        <w:rPr>
          <w:color w:val="000000"/>
        </w:rPr>
        <w:t xml:space="preserve">, a low-to-no </w:t>
      </w:r>
      <w:r w:rsidRPr="007F00C7">
        <w:rPr>
          <w:color w:val="000000"/>
        </w:rPr>
        <w:lastRenderedPageBreak/>
        <w:t xml:space="preserve">snow future could yield widespread changes </w:t>
      </w:r>
      <w:r w:rsidR="00B26ED7" w:rsidRPr="007F00C7">
        <w:rPr>
          <w:color w:val="000000"/>
        </w:rPr>
        <w:t>in their</w:t>
      </w:r>
      <w:r w:rsidRPr="007F00C7">
        <w:rPr>
          <w:color w:val="000000"/>
        </w:rPr>
        <w:t xml:space="preserve"> physiognomy and function (</w:t>
      </w:r>
      <w:proofErr w:type="spellStart"/>
      <w:r w:rsidRPr="007F00C7">
        <w:rPr>
          <w:color w:val="000000"/>
        </w:rPr>
        <w:t>Siirila</w:t>
      </w:r>
      <w:proofErr w:type="spellEnd"/>
      <w:r w:rsidRPr="007F00C7">
        <w:rPr>
          <w:color w:val="000000"/>
        </w:rPr>
        <w:t>-Woodburn et al., 2021). The results we have presented provide an important foundation for predicting how these systems may respond to synoptic environmental change in the future.</w:t>
      </w:r>
    </w:p>
    <w:p w14:paraId="0000007D" w14:textId="42728432" w:rsidR="001527B5" w:rsidRPr="007F00C7" w:rsidRDefault="00000000">
      <w:pPr>
        <w:pStyle w:val="Heading1"/>
        <w:rPr>
          <w:rFonts w:ascii="Times New Roman" w:hAnsi="Times New Roman" w:cs="Times New Roman"/>
        </w:rPr>
      </w:pPr>
      <w:bookmarkStart w:id="34" w:name="bookmark=id.ihv636" w:colFirst="0" w:colLast="0"/>
      <w:bookmarkEnd w:id="34"/>
      <w:r w:rsidRPr="007F00C7">
        <w:rPr>
          <w:rFonts w:ascii="Times New Roman" w:hAnsi="Times New Roman" w:cs="Times New Roman"/>
        </w:rPr>
        <w:t>Acknowledgments</w:t>
      </w:r>
    </w:p>
    <w:p w14:paraId="0000007E" w14:textId="77777777" w:rsidR="001527B5" w:rsidRPr="007F00C7" w:rsidRDefault="00000000">
      <w:pPr>
        <w:pBdr>
          <w:top w:val="nil"/>
          <w:left w:val="nil"/>
          <w:bottom w:val="nil"/>
          <w:right w:val="nil"/>
          <w:between w:val="nil"/>
        </w:pBdr>
        <w:spacing w:after="0" w:line="480" w:lineRule="auto"/>
        <w:ind w:firstLine="720"/>
        <w:jc w:val="both"/>
        <w:rPr>
          <w:color w:val="000000"/>
        </w:rPr>
      </w:pPr>
      <w:r w:rsidRPr="007F00C7">
        <w:rPr>
          <w:color w:val="000000"/>
        </w:rPr>
        <w:t xml:space="preserve">The authors thank </w:t>
      </w:r>
      <w:r w:rsidRPr="007F00C7">
        <w:t>the Rocky Mountain Biological Laboratory</w:t>
      </w:r>
      <w:r w:rsidRPr="007F00C7">
        <w:rPr>
          <w:color w:val="000000"/>
        </w:rPr>
        <w:t xml:space="preserve"> for assistance with field site access, research permitting, and GNSS equipment use. We also thank Hilary Henry, Sophia Bagshaw, Sarah </w:t>
      </w:r>
      <w:proofErr w:type="spellStart"/>
      <w:r w:rsidRPr="007F00C7">
        <w:rPr>
          <w:color w:val="000000"/>
        </w:rPr>
        <w:t>Hettema</w:t>
      </w:r>
      <w:proofErr w:type="spellEnd"/>
      <w:r w:rsidRPr="007F00C7">
        <w:rPr>
          <w:color w:val="000000"/>
        </w:rPr>
        <w:t xml:space="preserve">, Jessica Katz, and Asa Elliott for field assistance, and Maggi Kelly, Dennis </w:t>
      </w:r>
      <w:proofErr w:type="spellStart"/>
      <w:r w:rsidRPr="007F00C7">
        <w:rPr>
          <w:color w:val="000000"/>
        </w:rPr>
        <w:t>Baldocchi</w:t>
      </w:r>
      <w:proofErr w:type="spellEnd"/>
      <w:r w:rsidRPr="007F00C7">
        <w:rPr>
          <w:color w:val="000000"/>
        </w:rPr>
        <w:t xml:space="preserve">, Marcos Longo, and Ian </w:t>
      </w:r>
      <w:proofErr w:type="spellStart"/>
      <w:r w:rsidRPr="007F00C7">
        <w:rPr>
          <w:color w:val="000000"/>
        </w:rPr>
        <w:t>Breckheimer</w:t>
      </w:r>
      <w:proofErr w:type="spellEnd"/>
      <w:r w:rsidRPr="007F00C7">
        <w:rPr>
          <w:color w:val="000000"/>
        </w:rPr>
        <w:t xml:space="preserve"> for productive discussions.</w:t>
      </w:r>
    </w:p>
    <w:p w14:paraId="0000007F" w14:textId="77777777" w:rsidR="001527B5" w:rsidRPr="007F00C7" w:rsidRDefault="00000000">
      <w:pPr>
        <w:pStyle w:val="Heading1"/>
        <w:rPr>
          <w:rFonts w:ascii="Times New Roman" w:hAnsi="Times New Roman" w:cs="Times New Roman"/>
        </w:rPr>
      </w:pPr>
      <w:bookmarkStart w:id="35" w:name="bookmark=id.32hioqz" w:colFirst="0" w:colLast="0"/>
      <w:bookmarkEnd w:id="35"/>
      <w:proofErr w:type="spellStart"/>
      <w:r w:rsidRPr="007F00C7">
        <w:rPr>
          <w:rFonts w:ascii="Times New Roman" w:hAnsi="Times New Roman" w:cs="Times New Roman"/>
        </w:rPr>
        <w:t>CRediT</w:t>
      </w:r>
      <w:proofErr w:type="spellEnd"/>
      <w:r w:rsidRPr="007F00C7">
        <w:rPr>
          <w:rFonts w:ascii="Times New Roman" w:hAnsi="Times New Roman" w:cs="Times New Roman"/>
        </w:rPr>
        <w:t xml:space="preserve"> authorship contribution statement</w:t>
      </w:r>
    </w:p>
    <w:p w14:paraId="00000080" w14:textId="464D2D32" w:rsidR="001527B5" w:rsidRPr="007F00C7" w:rsidRDefault="00000000">
      <w:pPr>
        <w:pBdr>
          <w:top w:val="nil"/>
          <w:left w:val="nil"/>
          <w:bottom w:val="nil"/>
          <w:right w:val="nil"/>
          <w:between w:val="nil"/>
        </w:pBdr>
        <w:spacing w:after="0" w:line="480" w:lineRule="auto"/>
        <w:ind w:firstLine="720"/>
        <w:jc w:val="both"/>
        <w:rPr>
          <w:color w:val="000000"/>
        </w:rPr>
      </w:pPr>
      <w:r w:rsidRPr="007F00C7">
        <w:rPr>
          <w:b/>
          <w:color w:val="000000"/>
        </w:rPr>
        <w:t>H. Marshall Worsham:</w:t>
      </w:r>
      <w:r w:rsidRPr="007F00C7">
        <w:rPr>
          <w:color w:val="000000"/>
        </w:rPr>
        <w:t xml:space="preserve"> Conceptualization, Data curation, Formal analysis, </w:t>
      </w:r>
      <w:r w:rsidR="005115D3">
        <w:rPr>
          <w:color w:val="000000"/>
        </w:rPr>
        <w:t xml:space="preserve">Funding acquisition, </w:t>
      </w:r>
      <w:r w:rsidRPr="007F00C7">
        <w:rPr>
          <w:color w:val="000000"/>
        </w:rPr>
        <w:t xml:space="preserve">Investigation, Methodology, Visualization, Writing – Original draft, Writing – review and editing. </w:t>
      </w:r>
      <w:r w:rsidRPr="007F00C7">
        <w:rPr>
          <w:b/>
          <w:color w:val="000000"/>
        </w:rPr>
        <w:t>Haruko M. Wainwright:</w:t>
      </w:r>
      <w:r w:rsidRPr="007F00C7">
        <w:rPr>
          <w:color w:val="000000"/>
        </w:rPr>
        <w:t xml:space="preserve"> Funding acquisition, </w:t>
      </w:r>
      <w:r w:rsidR="005115D3">
        <w:rPr>
          <w:color w:val="000000"/>
        </w:rPr>
        <w:t xml:space="preserve">Data curation, </w:t>
      </w:r>
      <w:r w:rsidRPr="007F00C7">
        <w:rPr>
          <w:color w:val="000000"/>
        </w:rPr>
        <w:t xml:space="preserve">Writing – Review and editing. </w:t>
      </w:r>
      <w:r w:rsidRPr="007F00C7">
        <w:rPr>
          <w:b/>
          <w:color w:val="000000"/>
        </w:rPr>
        <w:t>Thomas Powell</w:t>
      </w:r>
      <w:r w:rsidRPr="007F00C7">
        <w:rPr>
          <w:color w:val="000000"/>
        </w:rPr>
        <w:t xml:space="preserve">: Conceptualization, Investigation, Methodology, Writing – Review and editing. </w:t>
      </w:r>
      <w:r w:rsidR="005115D3" w:rsidRPr="007F00C7">
        <w:rPr>
          <w:b/>
          <w:color w:val="000000"/>
        </w:rPr>
        <w:t>Nicola Falco</w:t>
      </w:r>
      <w:r w:rsidR="005115D3" w:rsidRPr="007F00C7">
        <w:rPr>
          <w:color w:val="000000"/>
        </w:rPr>
        <w:t xml:space="preserve">: Data curation, Methodology, Validation, Writing – Review and editing. </w:t>
      </w:r>
      <w:r w:rsidRPr="007F00C7">
        <w:rPr>
          <w:b/>
          <w:color w:val="000000"/>
        </w:rPr>
        <w:t xml:space="preserve">Lara M. </w:t>
      </w:r>
      <w:proofErr w:type="spellStart"/>
      <w:r w:rsidRPr="007F00C7">
        <w:rPr>
          <w:b/>
          <w:color w:val="000000"/>
        </w:rPr>
        <w:t>Kueppers</w:t>
      </w:r>
      <w:proofErr w:type="spellEnd"/>
      <w:r w:rsidRPr="007F00C7">
        <w:rPr>
          <w:color w:val="000000"/>
        </w:rPr>
        <w:t xml:space="preserve">: Conceptualization, Funding acquisition, Project administration, </w:t>
      </w:r>
      <w:r w:rsidR="00F7154C" w:rsidRPr="007F00C7">
        <w:rPr>
          <w:color w:val="000000"/>
        </w:rPr>
        <w:t xml:space="preserve">Methodology, </w:t>
      </w:r>
      <w:r w:rsidRPr="007F00C7">
        <w:rPr>
          <w:color w:val="000000"/>
        </w:rPr>
        <w:t>Supervision, Writing – Review and editing.</w:t>
      </w:r>
    </w:p>
    <w:p w14:paraId="00000081" w14:textId="77777777" w:rsidR="001527B5" w:rsidRPr="007F00C7" w:rsidRDefault="00000000">
      <w:pPr>
        <w:pStyle w:val="Heading1"/>
        <w:rPr>
          <w:rFonts w:ascii="Times New Roman" w:hAnsi="Times New Roman" w:cs="Times New Roman"/>
        </w:rPr>
      </w:pPr>
      <w:bookmarkStart w:id="36" w:name="bookmark=id.1hmsyys" w:colFirst="0" w:colLast="0"/>
      <w:bookmarkEnd w:id="36"/>
      <w:r w:rsidRPr="007F00C7">
        <w:rPr>
          <w:rFonts w:ascii="Times New Roman" w:hAnsi="Times New Roman" w:cs="Times New Roman"/>
        </w:rPr>
        <w:t>Funding sources</w:t>
      </w:r>
    </w:p>
    <w:p w14:paraId="00000082" w14:textId="51A698AB" w:rsidR="001527B5" w:rsidRPr="007F00C7" w:rsidRDefault="00F7154C">
      <w:pPr>
        <w:pBdr>
          <w:top w:val="nil"/>
          <w:left w:val="nil"/>
          <w:bottom w:val="nil"/>
          <w:right w:val="nil"/>
          <w:between w:val="nil"/>
        </w:pBdr>
        <w:spacing w:after="0" w:line="480" w:lineRule="auto"/>
        <w:ind w:firstLine="720"/>
        <w:jc w:val="both"/>
        <w:rPr>
          <w:color w:val="000000"/>
        </w:rPr>
      </w:pPr>
      <w:r w:rsidRPr="007F00C7">
        <w:rPr>
          <w:color w:val="000000"/>
        </w:rPr>
        <w:t xml:space="preserve">This project was supported by the Office of Biological and Environmental Research (BER), Office of Science, U.S. Department of Energy </w:t>
      </w:r>
      <w:r w:rsidR="00CB1041">
        <w:rPr>
          <w:color w:val="000000"/>
        </w:rPr>
        <w:t>[</w:t>
      </w:r>
      <w:r w:rsidRPr="007F00C7">
        <w:rPr>
          <w:color w:val="000000"/>
        </w:rPr>
        <w:t>grant number DE-SC0023029</w:t>
      </w:r>
      <w:r w:rsidR="00CB1041">
        <w:rPr>
          <w:color w:val="000000"/>
        </w:rPr>
        <w:t>]</w:t>
      </w:r>
      <w:r w:rsidRPr="007F00C7">
        <w:rPr>
          <w:color w:val="000000"/>
        </w:rPr>
        <w:t xml:space="preserve">; the Watershed Function Scientific Focus Area, Environmental Systems Science Program, BER, Office of Science, U.S. Department of Energy; the Colorado Mountain Club Foundation; the Energy and </w:t>
      </w:r>
      <w:r w:rsidRPr="007F00C7">
        <w:rPr>
          <w:color w:val="000000"/>
        </w:rPr>
        <w:lastRenderedPageBreak/>
        <w:t>Resources Group, University of California, Berkeley; and the Rocky Mountain Biological Laboratory.</w:t>
      </w:r>
    </w:p>
    <w:p w14:paraId="00000083" w14:textId="77777777" w:rsidR="001527B5" w:rsidRPr="007F00C7" w:rsidRDefault="00000000">
      <w:pPr>
        <w:pStyle w:val="Heading1"/>
        <w:rPr>
          <w:rFonts w:ascii="Times New Roman" w:hAnsi="Times New Roman" w:cs="Times New Roman"/>
        </w:rPr>
      </w:pPr>
      <w:bookmarkStart w:id="37" w:name="bookmark=id.41mghml" w:colFirst="0" w:colLast="0"/>
      <w:bookmarkEnd w:id="37"/>
      <w:r w:rsidRPr="007F00C7">
        <w:rPr>
          <w:rFonts w:ascii="Times New Roman" w:hAnsi="Times New Roman" w:cs="Times New Roman"/>
        </w:rPr>
        <w:t>Data availability statement</w:t>
      </w:r>
    </w:p>
    <w:p w14:paraId="00000084" w14:textId="4BC34CD8" w:rsidR="001527B5" w:rsidRPr="007F00C7" w:rsidRDefault="0076708F" w:rsidP="00BC0AC2">
      <w:pPr>
        <w:pBdr>
          <w:top w:val="nil"/>
          <w:left w:val="nil"/>
          <w:bottom w:val="nil"/>
          <w:right w:val="nil"/>
          <w:between w:val="nil"/>
        </w:pBdr>
        <w:spacing w:line="480" w:lineRule="auto"/>
        <w:ind w:firstLine="720"/>
        <w:jc w:val="both"/>
        <w:rPr>
          <w:color w:val="000000"/>
        </w:rPr>
      </w:pPr>
      <w:r>
        <w:rPr>
          <w:color w:val="000000"/>
        </w:rPr>
        <w:t>Code</w:t>
      </w:r>
      <w:r w:rsidRPr="007F00C7">
        <w:rPr>
          <w:color w:val="000000"/>
        </w:rPr>
        <w:t xml:space="preserve"> for the analytical workflow and reproducible tables and figures is available at</w:t>
      </w:r>
      <w:r w:rsidR="00BC0AC2">
        <w:rPr>
          <w:color w:val="000000"/>
        </w:rPr>
        <w:t xml:space="preserve"> </w:t>
      </w:r>
      <w:hyperlink r:id="rId10" w:history="1">
        <w:r w:rsidR="00BC0AC2" w:rsidRPr="00BC0AC2">
          <w:rPr>
            <w:rStyle w:val="Hyperlink"/>
          </w:rPr>
          <w:t>https://zenodo.org/doi/</w:t>
        </w:r>
        <w:hyperlink r:id="rId11" w:history="1">
          <w:r w:rsidR="00BC0AC2">
            <w:rPr>
              <w:rStyle w:val="Hyperlink"/>
            </w:rPr>
            <w:t>10.5281/zen</w:t>
          </w:r>
          <w:r w:rsidR="00BC0AC2">
            <w:rPr>
              <w:rStyle w:val="Hyperlink"/>
            </w:rPr>
            <w:t>o</w:t>
          </w:r>
          <w:r w:rsidR="00BC0AC2">
            <w:rPr>
              <w:rStyle w:val="Hyperlink"/>
            </w:rPr>
            <w:t>do.12775449</w:t>
          </w:r>
        </w:hyperlink>
      </w:hyperlink>
      <w:r w:rsidRPr="007F00C7">
        <w:rPr>
          <w:color w:val="000000"/>
        </w:rPr>
        <w:t xml:space="preserve">. </w:t>
      </w:r>
      <w:r w:rsidR="008604B5" w:rsidRPr="007F00C7">
        <w:rPr>
          <w:color w:val="000000"/>
        </w:rPr>
        <w:t>Waveform LiDAR</w:t>
      </w:r>
      <w:r w:rsidRPr="007F00C7">
        <w:rPr>
          <w:color w:val="000000"/>
        </w:rPr>
        <w:t xml:space="preserve"> source data</w:t>
      </w:r>
      <w:r w:rsidR="008604B5" w:rsidRPr="007F00C7">
        <w:rPr>
          <w:color w:val="000000"/>
        </w:rPr>
        <w:t xml:space="preserve"> are available on ESS-DIVE </w:t>
      </w:r>
      <w:r w:rsidR="0095689B">
        <w:rPr>
          <w:color w:val="000000"/>
        </w:rPr>
        <w:t xml:space="preserve">at </w:t>
      </w:r>
      <w:hyperlink r:id="rId12" w:history="1">
        <w:r w:rsidR="0095689B" w:rsidRPr="00846A3B">
          <w:rPr>
            <w:rStyle w:val="Hyperlink"/>
          </w:rPr>
          <w:t>https://data.ess-dive.lbl.gov/datasets/d</w:t>
        </w:r>
        <w:r w:rsidR="0095689B" w:rsidRPr="00846A3B">
          <w:rPr>
            <w:rStyle w:val="Hyperlink"/>
          </w:rPr>
          <w:t>o</w:t>
        </w:r>
        <w:r w:rsidR="0095689B" w:rsidRPr="00846A3B">
          <w:rPr>
            <w:rStyle w:val="Hyperlink"/>
          </w:rPr>
          <w:t>i:10.15485/2403350</w:t>
        </w:r>
      </w:hyperlink>
      <w:r w:rsidR="001A7D9D" w:rsidRPr="007F00C7">
        <w:rPr>
          <w:color w:val="000000"/>
        </w:rPr>
        <w:t xml:space="preserve">, </w:t>
      </w:r>
      <w:r w:rsidR="0095689B">
        <w:rPr>
          <w:color w:val="000000"/>
        </w:rPr>
        <w:t>and</w:t>
      </w:r>
      <w:r w:rsidR="008604B5" w:rsidRPr="007F00C7">
        <w:rPr>
          <w:color w:val="000000"/>
        </w:rPr>
        <w:t xml:space="preserve"> other source</w:t>
      </w:r>
      <w:r w:rsidR="001A7D9D" w:rsidRPr="007F00C7">
        <w:rPr>
          <w:color w:val="000000"/>
        </w:rPr>
        <w:t xml:space="preserve">, </w:t>
      </w:r>
      <w:r w:rsidR="008604B5" w:rsidRPr="007F00C7">
        <w:rPr>
          <w:color w:val="000000"/>
        </w:rPr>
        <w:t>i</w:t>
      </w:r>
      <w:r w:rsidRPr="007F00C7">
        <w:rPr>
          <w:color w:val="000000"/>
        </w:rPr>
        <w:t>ntermediate</w:t>
      </w:r>
      <w:r w:rsidR="001A7D9D" w:rsidRPr="007F00C7">
        <w:rPr>
          <w:color w:val="000000"/>
        </w:rPr>
        <w:t>,</w:t>
      </w:r>
      <w:r w:rsidRPr="007F00C7">
        <w:rPr>
          <w:color w:val="000000"/>
        </w:rPr>
        <w:t xml:space="preserve"> and final </w:t>
      </w:r>
      <w:r w:rsidR="0052711E">
        <w:rPr>
          <w:color w:val="000000"/>
        </w:rPr>
        <w:t>data</w:t>
      </w:r>
      <w:r w:rsidRPr="007F00C7">
        <w:rPr>
          <w:color w:val="000000"/>
        </w:rPr>
        <w:t xml:space="preserve"> </w:t>
      </w:r>
      <w:r w:rsidR="0095689B">
        <w:rPr>
          <w:color w:val="000000"/>
        </w:rPr>
        <w:t xml:space="preserve">at </w:t>
      </w:r>
      <w:hyperlink r:id="rId13" w:history="1">
        <w:r w:rsidR="0095689B" w:rsidRPr="00846A3B">
          <w:rPr>
            <w:rStyle w:val="Hyperlink"/>
          </w:rPr>
          <w:t>https://data.ess-dive.lbl.gov/datasets/doi:10.15485/2404585</w:t>
        </w:r>
      </w:hyperlink>
      <w:r w:rsidRPr="007F00C7">
        <w:rPr>
          <w:color w:val="000000"/>
        </w:rPr>
        <w:t>.</w:t>
      </w:r>
    </w:p>
    <w:p w14:paraId="00000086" w14:textId="4190E2D5" w:rsidR="00D96DBA" w:rsidRDefault="00000000" w:rsidP="00D96DBA">
      <w:pPr>
        <w:pStyle w:val="Heading1"/>
        <w:rPr>
          <w:rFonts w:ascii="Times New Roman" w:hAnsi="Times New Roman" w:cs="Times New Roman"/>
        </w:rPr>
      </w:pPr>
      <w:bookmarkStart w:id="38" w:name="bookmark=id.2grqrue" w:colFirst="0" w:colLast="0"/>
      <w:bookmarkEnd w:id="38"/>
      <w:r w:rsidRPr="007F00C7">
        <w:rPr>
          <w:rFonts w:ascii="Times New Roman" w:hAnsi="Times New Roman" w:cs="Times New Roman"/>
        </w:rPr>
        <w:t xml:space="preserve">Appendix A. Supplementary </w:t>
      </w:r>
      <w:r w:rsidR="00D96DBA">
        <w:rPr>
          <w:rFonts w:ascii="Times New Roman" w:hAnsi="Times New Roman" w:cs="Times New Roman"/>
        </w:rPr>
        <w:t>material</w:t>
      </w:r>
    </w:p>
    <w:p w14:paraId="6F49A7A3" w14:textId="261C7FAA" w:rsidR="00D96DBA" w:rsidRPr="00D96DBA" w:rsidRDefault="00D96DBA" w:rsidP="00D96DBA">
      <w:pPr>
        <w:pStyle w:val="BodyText"/>
        <w:ind w:firstLine="0"/>
      </w:pPr>
      <w:r>
        <w:t>Supplementary material includes variable definitions, ITD algorithms and parameters, details on allometric diameter estimation methods, raster images of explanatory variables, and GAM partial-effects plots.</w:t>
      </w:r>
    </w:p>
    <w:p w14:paraId="26B4FB3C" w14:textId="77777777" w:rsidR="00D96DBA" w:rsidRDefault="00D96DBA">
      <w:pPr>
        <w:rPr>
          <w:color w:val="4F81BD"/>
        </w:rPr>
      </w:pPr>
      <w:r>
        <w:rPr>
          <w:color w:val="4F81BD"/>
        </w:rPr>
        <w:br w:type="page"/>
      </w:r>
    </w:p>
    <w:p w14:paraId="46A90E03" w14:textId="77777777" w:rsidR="001527B5" w:rsidRPr="007F00C7" w:rsidRDefault="001527B5">
      <w:pPr>
        <w:pBdr>
          <w:top w:val="nil"/>
          <w:left w:val="nil"/>
          <w:bottom w:val="nil"/>
          <w:right w:val="nil"/>
          <w:between w:val="nil"/>
        </w:pBdr>
        <w:spacing w:after="0"/>
        <w:rPr>
          <w:color w:val="000000"/>
        </w:rPr>
        <w:sectPr w:rsidR="001527B5" w:rsidRPr="007F00C7">
          <w:footerReference w:type="even" r:id="rId14"/>
          <w:footerReference w:type="default" r:id="rId15"/>
          <w:pgSz w:w="12240" w:h="15840"/>
          <w:pgMar w:top="1440" w:right="1440" w:bottom="1440" w:left="1440" w:header="720" w:footer="720" w:gutter="0"/>
          <w:lnNumType w:countBy="1" w:restart="continuous"/>
          <w:pgNumType w:start="1"/>
          <w:cols w:space="720"/>
        </w:sectPr>
      </w:pPr>
    </w:p>
    <w:p w14:paraId="00000087" w14:textId="77777777" w:rsidR="001527B5" w:rsidRPr="007F00C7" w:rsidRDefault="00000000">
      <w:pPr>
        <w:pStyle w:val="Heading1"/>
        <w:rPr>
          <w:rFonts w:ascii="Times New Roman" w:hAnsi="Times New Roman" w:cs="Times New Roman"/>
        </w:rPr>
      </w:pPr>
      <w:r w:rsidRPr="007F00C7">
        <w:rPr>
          <w:rFonts w:ascii="Times New Roman" w:hAnsi="Times New Roman" w:cs="Times New Roman"/>
        </w:rPr>
        <w:lastRenderedPageBreak/>
        <w:t>Tables</w:t>
      </w:r>
    </w:p>
    <w:p w14:paraId="00000088" w14:textId="5AA98996" w:rsidR="001527B5" w:rsidRPr="007F00C7" w:rsidRDefault="00000000">
      <w:pPr>
        <w:pBdr>
          <w:top w:val="nil"/>
          <w:left w:val="nil"/>
          <w:bottom w:val="nil"/>
          <w:right w:val="nil"/>
          <w:between w:val="nil"/>
        </w:pBdr>
        <w:spacing w:after="0" w:line="480" w:lineRule="auto"/>
        <w:rPr>
          <w:color w:val="000000"/>
        </w:rPr>
      </w:pPr>
      <w:r w:rsidRPr="007F00C7">
        <w:rPr>
          <w:b/>
          <w:color w:val="000000"/>
        </w:rPr>
        <w:t>Table 1.</w:t>
      </w:r>
      <w:r w:rsidRPr="007F00C7">
        <w:rPr>
          <w:color w:val="000000"/>
        </w:rPr>
        <w:t xml:space="preserve"> Summary statistics for the best-performing runs of </w:t>
      </w:r>
      <w:r w:rsidR="00136BA5" w:rsidRPr="007F00C7">
        <w:rPr>
          <w:color w:val="000000"/>
        </w:rPr>
        <w:t>eight</w:t>
      </w:r>
      <w:r w:rsidRPr="007F00C7">
        <w:rPr>
          <w:color w:val="000000"/>
        </w:rPr>
        <w:t xml:space="preserve"> individual tree delineation (ITD) algorithms. Parameters and </w:t>
      </w:r>
      <w:r w:rsidR="002D2C56">
        <w:rPr>
          <w:color w:val="000000"/>
        </w:rPr>
        <w:t xml:space="preserve">tested </w:t>
      </w:r>
      <w:r w:rsidRPr="007F00C7">
        <w:rPr>
          <w:color w:val="000000"/>
        </w:rPr>
        <w:t xml:space="preserve">values for each </w:t>
      </w:r>
      <w:r w:rsidR="002D2C56">
        <w:rPr>
          <w:color w:val="000000"/>
        </w:rPr>
        <w:t>algorithm</w:t>
      </w:r>
      <w:r w:rsidRPr="007F00C7">
        <w:rPr>
          <w:color w:val="000000"/>
        </w:rPr>
        <w:t xml:space="preserve"> appear in Table </w:t>
      </w:r>
      <w:r w:rsidR="00136BA5" w:rsidRPr="007F00C7">
        <w:rPr>
          <w:color w:val="000000"/>
        </w:rPr>
        <w:t>A</w:t>
      </w:r>
      <w:r w:rsidR="002D2C56">
        <w:rPr>
          <w:color w:val="000000"/>
        </w:rPr>
        <w:t>.</w:t>
      </w:r>
      <w:r w:rsidR="00136BA5" w:rsidRPr="007F00C7">
        <w:rPr>
          <w:color w:val="000000"/>
        </w:rPr>
        <w:t>3</w:t>
      </w:r>
      <w:r w:rsidRPr="007F00C7">
        <w:rPr>
          <w:color w:val="000000"/>
        </w:rPr>
        <w:t>. Reported values are root mean squares (RMS) computed across the 17 training plots. Results for the best performing algorithm, Layer Stacking, appear in bold.</w:t>
      </w:r>
    </w:p>
    <w:tbl>
      <w:tblPr>
        <w:tblStyle w:val="a2"/>
        <w:tblW w:w="1296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30"/>
        <w:gridCol w:w="1062"/>
        <w:gridCol w:w="969"/>
        <w:gridCol w:w="1091"/>
        <w:gridCol w:w="838"/>
        <w:gridCol w:w="990"/>
        <w:gridCol w:w="810"/>
        <w:gridCol w:w="900"/>
        <w:gridCol w:w="900"/>
        <w:gridCol w:w="810"/>
        <w:gridCol w:w="810"/>
        <w:gridCol w:w="989"/>
        <w:gridCol w:w="711"/>
        <w:gridCol w:w="550"/>
      </w:tblGrid>
      <w:tr w:rsidR="001410AD" w:rsidRPr="007F00C7" w14:paraId="5593C1FB" w14:textId="77777777" w:rsidTr="001410AD">
        <w:trPr>
          <w:cantSplit/>
          <w:tblHeader/>
          <w:jc w:val="center"/>
        </w:trPr>
        <w:tc>
          <w:tcPr>
            <w:tcW w:w="1530" w:type="dxa"/>
            <w:tcBorders>
              <w:top w:val="single" w:sz="12" w:space="0" w:color="auto"/>
              <w:left w:val="nil"/>
              <w:bottom w:val="single" w:sz="8" w:space="0" w:color="auto"/>
              <w:right w:val="nil"/>
            </w:tcBorders>
            <w:shd w:val="clear" w:color="auto" w:fill="FFFFFF"/>
            <w:tcMar>
              <w:top w:w="0" w:type="dxa"/>
              <w:left w:w="0" w:type="dxa"/>
              <w:bottom w:w="0" w:type="dxa"/>
              <w:right w:w="0" w:type="dxa"/>
            </w:tcMar>
          </w:tcPr>
          <w:p w14:paraId="00000089" w14:textId="77777777" w:rsidR="001527B5" w:rsidRPr="007F00C7" w:rsidRDefault="00000000">
            <w:pPr>
              <w:pBdr>
                <w:top w:val="none" w:sz="0" w:space="0" w:color="000000"/>
                <w:left w:val="none" w:sz="0" w:space="0" w:color="000000"/>
                <w:bottom w:val="none" w:sz="0" w:space="0" w:color="000000"/>
                <w:right w:val="none" w:sz="0" w:space="0" w:color="000000"/>
              </w:pBdr>
              <w:spacing w:before="100"/>
              <w:ind w:left="100" w:right="100"/>
              <w:rPr>
                <w:rFonts w:ascii="Times New Roman" w:hAnsi="Times New Roman" w:cs="Times New Roman"/>
              </w:rPr>
            </w:pPr>
            <w:r w:rsidRPr="007F00C7">
              <w:rPr>
                <w:rFonts w:ascii="Times New Roman" w:hAnsi="Times New Roman" w:cs="Times New Roman"/>
                <w:color w:val="000000"/>
                <w:sz w:val="20"/>
                <w:szCs w:val="20"/>
              </w:rPr>
              <w:t>Model</w:t>
            </w:r>
          </w:p>
        </w:tc>
        <w:tc>
          <w:tcPr>
            <w:tcW w:w="1062" w:type="dxa"/>
            <w:tcBorders>
              <w:top w:val="single" w:sz="12" w:space="0" w:color="auto"/>
              <w:left w:val="nil"/>
              <w:bottom w:val="single" w:sz="8" w:space="0" w:color="auto"/>
              <w:right w:val="nil"/>
            </w:tcBorders>
            <w:shd w:val="clear" w:color="auto" w:fill="FFFFFF"/>
            <w:tcMar>
              <w:top w:w="0" w:type="dxa"/>
              <w:left w:w="0" w:type="dxa"/>
              <w:bottom w:w="0" w:type="dxa"/>
              <w:right w:w="0" w:type="dxa"/>
            </w:tcMar>
          </w:tcPr>
          <w:p w14:paraId="0000008A" w14:textId="6CAF387F" w:rsidR="001527B5" w:rsidRPr="007F00C7" w:rsidRDefault="003070CD">
            <w:pPr>
              <w:pBdr>
                <w:top w:val="none" w:sz="0" w:space="0" w:color="000000"/>
                <w:left w:val="none" w:sz="0" w:space="0" w:color="000000"/>
                <w:bottom w:val="none" w:sz="0" w:space="0" w:color="000000"/>
                <w:right w:val="none" w:sz="0" w:space="0" w:color="000000"/>
              </w:pBdr>
              <w:spacing w:before="100"/>
              <w:ind w:left="100" w:right="100"/>
              <w:jc w:val="right"/>
              <w:rPr>
                <w:rFonts w:ascii="Times New Roman" w:hAnsi="Times New Roman" w:cs="Times New Roman"/>
              </w:rPr>
            </w:pPr>
            <w:r w:rsidRPr="007F00C7">
              <w:rPr>
                <w:rFonts w:ascii="Times New Roman" w:hAnsi="Times New Roman" w:cs="Times New Roman"/>
                <w:color w:val="000000"/>
                <w:sz w:val="20"/>
                <w:szCs w:val="20"/>
              </w:rPr>
              <w:t>Reference trees</w:t>
            </w:r>
          </w:p>
        </w:tc>
        <w:tc>
          <w:tcPr>
            <w:tcW w:w="969" w:type="dxa"/>
            <w:tcBorders>
              <w:top w:val="single" w:sz="12" w:space="0" w:color="auto"/>
              <w:left w:val="nil"/>
              <w:bottom w:val="single" w:sz="8" w:space="0" w:color="auto"/>
              <w:right w:val="nil"/>
            </w:tcBorders>
            <w:shd w:val="clear" w:color="auto" w:fill="FFFFFF"/>
            <w:tcMar>
              <w:top w:w="0" w:type="dxa"/>
              <w:left w:w="0" w:type="dxa"/>
              <w:bottom w:w="0" w:type="dxa"/>
              <w:right w:w="0" w:type="dxa"/>
            </w:tcMar>
          </w:tcPr>
          <w:p w14:paraId="0000008B" w14:textId="7D4FD31F" w:rsidR="001527B5" w:rsidRPr="007F00C7" w:rsidRDefault="003070CD">
            <w:pPr>
              <w:pBdr>
                <w:top w:val="none" w:sz="0" w:space="0" w:color="000000"/>
                <w:left w:val="none" w:sz="0" w:space="0" w:color="000000"/>
                <w:bottom w:val="none" w:sz="0" w:space="0" w:color="000000"/>
                <w:right w:val="none" w:sz="0" w:space="0" w:color="000000"/>
              </w:pBdr>
              <w:spacing w:before="100"/>
              <w:ind w:left="100" w:right="100"/>
              <w:jc w:val="right"/>
              <w:rPr>
                <w:rFonts w:ascii="Times New Roman" w:hAnsi="Times New Roman" w:cs="Times New Roman"/>
              </w:rPr>
            </w:pPr>
            <w:r w:rsidRPr="007F00C7">
              <w:rPr>
                <w:rFonts w:ascii="Times New Roman" w:hAnsi="Times New Roman" w:cs="Times New Roman"/>
                <w:color w:val="000000"/>
                <w:sz w:val="20"/>
                <w:szCs w:val="20"/>
              </w:rPr>
              <w:t>Detected trees</w:t>
            </w:r>
          </w:p>
        </w:tc>
        <w:tc>
          <w:tcPr>
            <w:tcW w:w="1091" w:type="dxa"/>
            <w:tcBorders>
              <w:top w:val="single" w:sz="12" w:space="0" w:color="auto"/>
              <w:left w:val="nil"/>
              <w:bottom w:val="single" w:sz="8" w:space="0" w:color="auto"/>
              <w:right w:val="nil"/>
            </w:tcBorders>
            <w:shd w:val="clear" w:color="auto" w:fill="FFFFFF"/>
            <w:tcMar>
              <w:top w:w="0" w:type="dxa"/>
              <w:left w:w="0" w:type="dxa"/>
              <w:bottom w:w="0" w:type="dxa"/>
              <w:right w:w="0" w:type="dxa"/>
            </w:tcMar>
          </w:tcPr>
          <w:p w14:paraId="0000008C" w14:textId="77777777" w:rsidR="001527B5" w:rsidRPr="007F00C7" w:rsidRDefault="00000000">
            <w:pPr>
              <w:pBdr>
                <w:top w:val="none" w:sz="0" w:space="0" w:color="000000"/>
                <w:left w:val="none" w:sz="0" w:space="0" w:color="000000"/>
                <w:bottom w:val="none" w:sz="0" w:space="0" w:color="000000"/>
                <w:right w:val="none" w:sz="0" w:space="0" w:color="000000"/>
              </w:pBdr>
              <w:spacing w:before="100"/>
              <w:ind w:left="100" w:right="100"/>
              <w:jc w:val="right"/>
              <w:rPr>
                <w:rFonts w:ascii="Times New Roman" w:hAnsi="Times New Roman" w:cs="Times New Roman"/>
              </w:rPr>
            </w:pPr>
            <w:r w:rsidRPr="007F00C7">
              <w:rPr>
                <w:rFonts w:ascii="Times New Roman" w:hAnsi="Times New Roman" w:cs="Times New Roman"/>
                <w:color w:val="000000"/>
                <w:sz w:val="20"/>
                <w:szCs w:val="20"/>
              </w:rPr>
              <w:t>Extraction rate</w:t>
            </w:r>
          </w:p>
        </w:tc>
        <w:tc>
          <w:tcPr>
            <w:tcW w:w="838" w:type="dxa"/>
            <w:tcBorders>
              <w:top w:val="single" w:sz="12" w:space="0" w:color="auto"/>
              <w:left w:val="nil"/>
              <w:bottom w:val="single" w:sz="8" w:space="0" w:color="auto"/>
              <w:right w:val="nil"/>
            </w:tcBorders>
            <w:shd w:val="clear" w:color="auto" w:fill="FFFFFF"/>
            <w:tcMar>
              <w:top w:w="0" w:type="dxa"/>
              <w:left w:w="0" w:type="dxa"/>
              <w:bottom w:w="0" w:type="dxa"/>
              <w:right w:w="0" w:type="dxa"/>
            </w:tcMar>
          </w:tcPr>
          <w:p w14:paraId="0000008D" w14:textId="77777777" w:rsidR="001527B5" w:rsidRPr="007F00C7" w:rsidRDefault="00000000">
            <w:pPr>
              <w:pBdr>
                <w:top w:val="none" w:sz="0" w:space="0" w:color="000000"/>
                <w:left w:val="none" w:sz="0" w:space="0" w:color="000000"/>
                <w:bottom w:val="none" w:sz="0" w:space="0" w:color="000000"/>
                <w:right w:val="none" w:sz="0" w:space="0" w:color="000000"/>
              </w:pBdr>
              <w:spacing w:before="100"/>
              <w:ind w:left="100" w:right="100"/>
              <w:jc w:val="right"/>
              <w:rPr>
                <w:rFonts w:ascii="Times New Roman" w:hAnsi="Times New Roman" w:cs="Times New Roman"/>
              </w:rPr>
            </w:pPr>
            <w:r w:rsidRPr="007F00C7">
              <w:rPr>
                <w:rFonts w:ascii="Times New Roman" w:hAnsi="Times New Roman" w:cs="Times New Roman"/>
                <w:color w:val="000000"/>
                <w:sz w:val="20"/>
                <w:szCs w:val="20"/>
              </w:rPr>
              <w:t>Match rate</w:t>
            </w:r>
          </w:p>
        </w:tc>
        <w:tc>
          <w:tcPr>
            <w:tcW w:w="990" w:type="dxa"/>
            <w:tcBorders>
              <w:top w:val="single" w:sz="12" w:space="0" w:color="auto"/>
              <w:left w:val="nil"/>
              <w:bottom w:val="single" w:sz="8" w:space="0" w:color="auto"/>
              <w:right w:val="nil"/>
            </w:tcBorders>
            <w:shd w:val="clear" w:color="auto" w:fill="FFFFFF"/>
            <w:tcMar>
              <w:top w:w="0" w:type="dxa"/>
              <w:left w:w="0" w:type="dxa"/>
              <w:bottom w:w="0" w:type="dxa"/>
              <w:right w:w="0" w:type="dxa"/>
            </w:tcMar>
          </w:tcPr>
          <w:p w14:paraId="0000008E" w14:textId="77777777" w:rsidR="001527B5" w:rsidRPr="007F00C7" w:rsidRDefault="00000000">
            <w:pPr>
              <w:pBdr>
                <w:top w:val="none" w:sz="0" w:space="0" w:color="000000"/>
                <w:left w:val="none" w:sz="0" w:space="0" w:color="000000"/>
                <w:bottom w:val="none" w:sz="0" w:space="0" w:color="000000"/>
                <w:right w:val="none" w:sz="0" w:space="0" w:color="000000"/>
              </w:pBdr>
              <w:spacing w:before="100"/>
              <w:ind w:left="100" w:right="100"/>
              <w:jc w:val="right"/>
              <w:rPr>
                <w:rFonts w:ascii="Times New Roman" w:hAnsi="Times New Roman" w:cs="Times New Roman"/>
              </w:rPr>
            </w:pPr>
            <w:r w:rsidRPr="007F00C7">
              <w:rPr>
                <w:rFonts w:ascii="Times New Roman" w:hAnsi="Times New Roman" w:cs="Times New Roman"/>
                <w:color w:val="000000"/>
                <w:sz w:val="20"/>
                <w:szCs w:val="20"/>
              </w:rPr>
              <w:t>Overall accuracy</w:t>
            </w:r>
          </w:p>
        </w:tc>
        <w:tc>
          <w:tcPr>
            <w:tcW w:w="810" w:type="dxa"/>
            <w:tcBorders>
              <w:top w:val="single" w:sz="12" w:space="0" w:color="auto"/>
              <w:left w:val="nil"/>
              <w:bottom w:val="single" w:sz="8" w:space="0" w:color="auto"/>
              <w:right w:val="nil"/>
            </w:tcBorders>
            <w:shd w:val="clear" w:color="auto" w:fill="FFFFFF"/>
            <w:tcMar>
              <w:top w:w="0" w:type="dxa"/>
              <w:left w:w="0" w:type="dxa"/>
              <w:bottom w:w="0" w:type="dxa"/>
              <w:right w:w="0" w:type="dxa"/>
            </w:tcMar>
          </w:tcPr>
          <w:p w14:paraId="0000008F" w14:textId="7EC0B4F1" w:rsidR="001527B5" w:rsidRPr="007F00C7" w:rsidRDefault="001410AD">
            <w:pPr>
              <w:pBdr>
                <w:top w:val="none" w:sz="0" w:space="0" w:color="000000"/>
                <w:left w:val="none" w:sz="0" w:space="0" w:color="000000"/>
                <w:bottom w:val="none" w:sz="0" w:space="0" w:color="000000"/>
                <w:right w:val="none" w:sz="0" w:space="0" w:color="000000"/>
              </w:pBdr>
              <w:spacing w:before="100"/>
              <w:ind w:left="100" w:right="100"/>
              <w:jc w:val="right"/>
              <w:rPr>
                <w:rFonts w:ascii="Times New Roman" w:hAnsi="Times New Roman" w:cs="Times New Roman"/>
              </w:rPr>
            </w:pPr>
            <w:r w:rsidRPr="007F00C7">
              <w:rPr>
                <w:rFonts w:ascii="Times New Roman" w:hAnsi="Times New Roman" w:cs="Times New Roman"/>
                <w:color w:val="000000"/>
                <w:sz w:val="20"/>
                <w:szCs w:val="20"/>
              </w:rPr>
              <w:t>OR</w:t>
            </w:r>
          </w:p>
        </w:tc>
        <w:tc>
          <w:tcPr>
            <w:tcW w:w="900" w:type="dxa"/>
            <w:tcBorders>
              <w:top w:val="single" w:sz="12" w:space="0" w:color="auto"/>
              <w:left w:val="nil"/>
              <w:bottom w:val="single" w:sz="8" w:space="0" w:color="auto"/>
              <w:right w:val="nil"/>
            </w:tcBorders>
            <w:shd w:val="clear" w:color="auto" w:fill="FFFFFF"/>
            <w:tcMar>
              <w:top w:w="0" w:type="dxa"/>
              <w:left w:w="0" w:type="dxa"/>
              <w:bottom w:w="0" w:type="dxa"/>
              <w:right w:w="0" w:type="dxa"/>
            </w:tcMar>
          </w:tcPr>
          <w:p w14:paraId="00000090" w14:textId="74BECD6D" w:rsidR="001527B5" w:rsidRPr="007F00C7" w:rsidRDefault="001410AD">
            <w:pPr>
              <w:pBdr>
                <w:top w:val="none" w:sz="0" w:space="0" w:color="000000"/>
                <w:left w:val="none" w:sz="0" w:space="0" w:color="000000"/>
                <w:bottom w:val="none" w:sz="0" w:space="0" w:color="000000"/>
                <w:right w:val="none" w:sz="0" w:space="0" w:color="000000"/>
              </w:pBdr>
              <w:spacing w:before="100"/>
              <w:ind w:left="100" w:right="100"/>
              <w:jc w:val="right"/>
              <w:rPr>
                <w:rFonts w:ascii="Times New Roman" w:hAnsi="Times New Roman" w:cs="Times New Roman"/>
              </w:rPr>
            </w:pPr>
            <w:r w:rsidRPr="007F00C7">
              <w:rPr>
                <w:rFonts w:ascii="Times New Roman" w:hAnsi="Times New Roman" w:cs="Times New Roman"/>
                <w:color w:val="000000"/>
                <w:sz w:val="20"/>
                <w:szCs w:val="20"/>
              </w:rPr>
              <w:t>CR</w:t>
            </w:r>
          </w:p>
        </w:tc>
        <w:tc>
          <w:tcPr>
            <w:tcW w:w="900" w:type="dxa"/>
            <w:tcBorders>
              <w:top w:val="single" w:sz="12" w:space="0" w:color="auto"/>
              <w:left w:val="nil"/>
              <w:bottom w:val="single" w:sz="8" w:space="0" w:color="auto"/>
              <w:right w:val="nil"/>
            </w:tcBorders>
            <w:shd w:val="clear" w:color="auto" w:fill="FFFFFF"/>
            <w:tcMar>
              <w:top w:w="0" w:type="dxa"/>
              <w:left w:w="0" w:type="dxa"/>
              <w:bottom w:w="0" w:type="dxa"/>
              <w:right w:w="0" w:type="dxa"/>
            </w:tcMar>
          </w:tcPr>
          <w:p w14:paraId="00000091" w14:textId="472FB906" w:rsidR="001527B5" w:rsidRPr="007F00C7" w:rsidRDefault="00000000">
            <w:pPr>
              <w:pBdr>
                <w:top w:val="none" w:sz="0" w:space="0" w:color="000000"/>
                <w:left w:val="none" w:sz="0" w:space="0" w:color="000000"/>
                <w:bottom w:val="none" w:sz="0" w:space="0" w:color="000000"/>
                <w:right w:val="none" w:sz="0" w:space="0" w:color="000000"/>
              </w:pBdr>
              <w:spacing w:before="100"/>
              <w:ind w:left="100" w:right="100"/>
              <w:jc w:val="right"/>
              <w:rPr>
                <w:rFonts w:ascii="Times New Roman" w:hAnsi="Times New Roman" w:cs="Times New Roman"/>
              </w:rPr>
            </w:pPr>
            <w:r w:rsidRPr="007F00C7">
              <w:rPr>
                <w:rFonts w:ascii="Times New Roman" w:hAnsi="Times New Roman" w:cs="Times New Roman"/>
                <w:color w:val="000000"/>
                <w:sz w:val="20"/>
                <w:szCs w:val="20"/>
              </w:rPr>
              <w:t xml:space="preserve">RMS </w:t>
            </w:r>
            <w:r w:rsidRPr="007F00C7">
              <w:rPr>
                <w:rFonts w:ascii="Times New Roman" w:eastAsia="Gungsuh" w:hAnsi="Times New Roman" w:cs="Times New Roman"/>
                <w:color w:val="000000"/>
                <w:sz w:val="20"/>
                <w:szCs w:val="20"/>
              </w:rPr>
              <w:t>∆XY</w:t>
            </w:r>
          </w:p>
        </w:tc>
        <w:tc>
          <w:tcPr>
            <w:tcW w:w="810" w:type="dxa"/>
            <w:tcBorders>
              <w:top w:val="single" w:sz="12" w:space="0" w:color="auto"/>
              <w:left w:val="nil"/>
              <w:bottom w:val="single" w:sz="8" w:space="0" w:color="auto"/>
              <w:right w:val="nil"/>
            </w:tcBorders>
            <w:shd w:val="clear" w:color="auto" w:fill="FFFFFF"/>
            <w:tcMar>
              <w:top w:w="0" w:type="dxa"/>
              <w:left w:w="0" w:type="dxa"/>
              <w:bottom w:w="0" w:type="dxa"/>
              <w:right w:w="0" w:type="dxa"/>
            </w:tcMar>
          </w:tcPr>
          <w:p w14:paraId="00000092" w14:textId="01134DBB" w:rsidR="001527B5" w:rsidRPr="007F00C7" w:rsidRDefault="00000000">
            <w:pPr>
              <w:pBdr>
                <w:top w:val="none" w:sz="0" w:space="0" w:color="000000"/>
                <w:left w:val="none" w:sz="0" w:space="0" w:color="000000"/>
                <w:bottom w:val="none" w:sz="0" w:space="0" w:color="000000"/>
                <w:right w:val="none" w:sz="0" w:space="0" w:color="000000"/>
              </w:pBdr>
              <w:spacing w:before="100"/>
              <w:ind w:left="100" w:right="100"/>
              <w:jc w:val="right"/>
              <w:rPr>
                <w:rFonts w:ascii="Times New Roman" w:hAnsi="Times New Roman" w:cs="Times New Roman"/>
              </w:rPr>
            </w:pPr>
            <w:r w:rsidRPr="007F00C7">
              <w:rPr>
                <w:rFonts w:ascii="Times New Roman" w:hAnsi="Times New Roman" w:cs="Times New Roman"/>
                <w:color w:val="000000"/>
                <w:sz w:val="20"/>
                <w:szCs w:val="20"/>
              </w:rPr>
              <w:t xml:space="preserve">RMS </w:t>
            </w:r>
            <w:r w:rsidRPr="007F00C7">
              <w:rPr>
                <w:rFonts w:ascii="Times New Roman" w:eastAsia="Gungsuh" w:hAnsi="Times New Roman" w:cs="Times New Roman"/>
                <w:color w:val="000000"/>
                <w:sz w:val="20"/>
                <w:szCs w:val="20"/>
              </w:rPr>
              <w:t>∆Z</w:t>
            </w:r>
          </w:p>
        </w:tc>
        <w:tc>
          <w:tcPr>
            <w:tcW w:w="810" w:type="dxa"/>
            <w:tcBorders>
              <w:top w:val="single" w:sz="12" w:space="0" w:color="auto"/>
              <w:left w:val="nil"/>
              <w:bottom w:val="single" w:sz="8" w:space="0" w:color="auto"/>
              <w:right w:val="nil"/>
            </w:tcBorders>
            <w:shd w:val="clear" w:color="auto" w:fill="FFFFFF"/>
            <w:tcMar>
              <w:top w:w="0" w:type="dxa"/>
              <w:left w:w="0" w:type="dxa"/>
              <w:bottom w:w="0" w:type="dxa"/>
              <w:right w:w="0" w:type="dxa"/>
            </w:tcMar>
          </w:tcPr>
          <w:p w14:paraId="00000093" w14:textId="6C71B10C" w:rsidR="001527B5" w:rsidRPr="007F00C7" w:rsidRDefault="00000000">
            <w:pPr>
              <w:pBdr>
                <w:top w:val="none" w:sz="0" w:space="0" w:color="000000"/>
                <w:left w:val="none" w:sz="0" w:space="0" w:color="000000"/>
                <w:bottom w:val="none" w:sz="0" w:space="0" w:color="000000"/>
                <w:right w:val="none" w:sz="0" w:space="0" w:color="000000"/>
              </w:pBdr>
              <w:spacing w:before="100"/>
              <w:ind w:left="100" w:right="100"/>
              <w:jc w:val="right"/>
              <w:rPr>
                <w:rFonts w:ascii="Times New Roman" w:hAnsi="Times New Roman" w:cs="Times New Roman"/>
              </w:rPr>
            </w:pPr>
            <w:r w:rsidRPr="007F00C7">
              <w:rPr>
                <w:rFonts w:ascii="Times New Roman" w:hAnsi="Times New Roman" w:cs="Times New Roman"/>
                <w:color w:val="000000"/>
                <w:sz w:val="20"/>
                <w:szCs w:val="20"/>
              </w:rPr>
              <w:t xml:space="preserve">RMS </w:t>
            </w:r>
            <w:r w:rsidRPr="007F00C7">
              <w:rPr>
                <w:rFonts w:ascii="Times New Roman" w:eastAsia="Gungsuh" w:hAnsi="Times New Roman" w:cs="Times New Roman"/>
                <w:color w:val="000000"/>
                <w:sz w:val="20"/>
                <w:szCs w:val="20"/>
              </w:rPr>
              <w:t>∆XYZ</w:t>
            </w:r>
          </w:p>
        </w:tc>
        <w:tc>
          <w:tcPr>
            <w:tcW w:w="989" w:type="dxa"/>
            <w:tcBorders>
              <w:top w:val="single" w:sz="12" w:space="0" w:color="auto"/>
              <w:left w:val="nil"/>
              <w:bottom w:val="single" w:sz="8" w:space="0" w:color="auto"/>
              <w:right w:val="nil"/>
            </w:tcBorders>
            <w:shd w:val="clear" w:color="auto" w:fill="FFFFFF"/>
            <w:tcMar>
              <w:top w:w="0" w:type="dxa"/>
              <w:left w:w="0" w:type="dxa"/>
              <w:bottom w:w="0" w:type="dxa"/>
              <w:right w:w="0" w:type="dxa"/>
            </w:tcMar>
          </w:tcPr>
          <w:p w14:paraId="00000094" w14:textId="77777777" w:rsidR="001527B5" w:rsidRPr="007F00C7" w:rsidRDefault="00000000">
            <w:pPr>
              <w:pBdr>
                <w:top w:val="none" w:sz="0" w:space="0" w:color="000000"/>
                <w:left w:val="none" w:sz="0" w:space="0" w:color="000000"/>
                <w:bottom w:val="none" w:sz="0" w:space="0" w:color="000000"/>
                <w:right w:val="none" w:sz="0" w:space="0" w:color="000000"/>
              </w:pBdr>
              <w:spacing w:before="100"/>
              <w:ind w:left="100" w:right="100"/>
              <w:jc w:val="right"/>
              <w:rPr>
                <w:rFonts w:ascii="Times New Roman" w:hAnsi="Times New Roman" w:cs="Times New Roman"/>
              </w:rPr>
            </w:pPr>
            <w:r w:rsidRPr="007F00C7">
              <w:rPr>
                <w:rFonts w:ascii="Times New Roman" w:hAnsi="Times New Roman" w:cs="Times New Roman"/>
                <w:color w:val="000000"/>
                <w:sz w:val="20"/>
                <w:szCs w:val="20"/>
              </w:rPr>
              <w:t>Precision</w:t>
            </w:r>
          </w:p>
        </w:tc>
        <w:tc>
          <w:tcPr>
            <w:tcW w:w="711" w:type="dxa"/>
            <w:tcBorders>
              <w:top w:val="single" w:sz="12" w:space="0" w:color="auto"/>
              <w:left w:val="nil"/>
              <w:bottom w:val="single" w:sz="8" w:space="0" w:color="auto"/>
              <w:right w:val="nil"/>
            </w:tcBorders>
            <w:shd w:val="clear" w:color="auto" w:fill="FFFFFF"/>
            <w:tcMar>
              <w:top w:w="0" w:type="dxa"/>
              <w:left w:w="0" w:type="dxa"/>
              <w:bottom w:w="0" w:type="dxa"/>
              <w:right w:w="0" w:type="dxa"/>
            </w:tcMar>
          </w:tcPr>
          <w:p w14:paraId="00000095" w14:textId="77777777" w:rsidR="001527B5" w:rsidRPr="007F00C7" w:rsidRDefault="00000000">
            <w:pPr>
              <w:pBdr>
                <w:top w:val="none" w:sz="0" w:space="0" w:color="000000"/>
                <w:left w:val="none" w:sz="0" w:space="0" w:color="000000"/>
                <w:bottom w:val="none" w:sz="0" w:space="0" w:color="000000"/>
                <w:right w:val="none" w:sz="0" w:space="0" w:color="000000"/>
              </w:pBdr>
              <w:spacing w:before="100"/>
              <w:ind w:left="100" w:right="100"/>
              <w:jc w:val="right"/>
              <w:rPr>
                <w:rFonts w:ascii="Times New Roman" w:hAnsi="Times New Roman" w:cs="Times New Roman"/>
              </w:rPr>
            </w:pPr>
            <w:r w:rsidRPr="007F00C7">
              <w:rPr>
                <w:rFonts w:ascii="Times New Roman" w:hAnsi="Times New Roman" w:cs="Times New Roman"/>
                <w:color w:val="000000"/>
                <w:sz w:val="20"/>
                <w:szCs w:val="20"/>
              </w:rPr>
              <w:t>Recall</w:t>
            </w:r>
          </w:p>
        </w:tc>
        <w:tc>
          <w:tcPr>
            <w:tcW w:w="550" w:type="dxa"/>
            <w:tcBorders>
              <w:top w:val="single" w:sz="12" w:space="0" w:color="auto"/>
              <w:left w:val="nil"/>
              <w:bottom w:val="single" w:sz="8" w:space="0" w:color="auto"/>
              <w:right w:val="nil"/>
            </w:tcBorders>
            <w:shd w:val="clear" w:color="auto" w:fill="FFFFFF"/>
            <w:tcMar>
              <w:top w:w="0" w:type="dxa"/>
              <w:left w:w="0" w:type="dxa"/>
              <w:bottom w:w="0" w:type="dxa"/>
              <w:right w:w="0" w:type="dxa"/>
            </w:tcMar>
          </w:tcPr>
          <w:p w14:paraId="00000096" w14:textId="77777777" w:rsidR="001527B5" w:rsidRPr="007F00C7" w:rsidRDefault="00000000">
            <w:pPr>
              <w:pBdr>
                <w:top w:val="none" w:sz="0" w:space="0" w:color="000000"/>
                <w:left w:val="none" w:sz="0" w:space="0" w:color="000000"/>
                <w:bottom w:val="none" w:sz="0" w:space="0" w:color="000000"/>
                <w:right w:val="none" w:sz="0" w:space="0" w:color="000000"/>
              </w:pBdr>
              <w:spacing w:before="100"/>
              <w:ind w:left="100" w:right="100"/>
              <w:jc w:val="right"/>
              <w:rPr>
                <w:rFonts w:ascii="Times New Roman" w:hAnsi="Times New Roman" w:cs="Times New Roman"/>
              </w:rPr>
            </w:pPr>
            <w:r w:rsidRPr="007F00C7">
              <w:rPr>
                <w:rFonts w:ascii="Times New Roman" w:hAnsi="Times New Roman" w:cs="Times New Roman"/>
                <w:color w:val="000000"/>
                <w:sz w:val="20"/>
                <w:szCs w:val="20"/>
              </w:rPr>
              <w:t>F1</w:t>
            </w:r>
          </w:p>
        </w:tc>
      </w:tr>
      <w:tr w:rsidR="001410AD" w:rsidRPr="007F00C7" w14:paraId="2085AB41" w14:textId="77777777" w:rsidTr="001410AD">
        <w:trPr>
          <w:cantSplit/>
          <w:jc w:val="center"/>
        </w:trPr>
        <w:tc>
          <w:tcPr>
            <w:tcW w:w="1530" w:type="dxa"/>
            <w:tcBorders>
              <w:top w:val="single" w:sz="8" w:space="0" w:color="auto"/>
              <w:left w:val="nil"/>
              <w:bottom w:val="nil"/>
              <w:right w:val="nil"/>
            </w:tcBorders>
            <w:shd w:val="clear" w:color="auto" w:fill="FFFFFF"/>
            <w:tcMar>
              <w:top w:w="0" w:type="dxa"/>
              <w:left w:w="0" w:type="dxa"/>
              <w:bottom w:w="0" w:type="dxa"/>
              <w:right w:w="0" w:type="dxa"/>
            </w:tcMar>
          </w:tcPr>
          <w:p w14:paraId="00000097" w14:textId="77777777" w:rsidR="001527B5" w:rsidRPr="007F00C7" w:rsidRDefault="00000000">
            <w:pPr>
              <w:pBdr>
                <w:top w:val="none" w:sz="0" w:space="0" w:color="000000"/>
                <w:left w:val="none" w:sz="0" w:space="0" w:color="000000"/>
                <w:bottom w:val="none" w:sz="0" w:space="0" w:color="000000"/>
                <w:right w:val="none" w:sz="0" w:space="0" w:color="000000"/>
              </w:pBdr>
              <w:spacing w:before="100"/>
              <w:ind w:left="100" w:right="100"/>
              <w:rPr>
                <w:rFonts w:ascii="Times New Roman" w:hAnsi="Times New Roman" w:cs="Times New Roman"/>
                <w:sz w:val="20"/>
                <w:szCs w:val="20"/>
              </w:rPr>
            </w:pPr>
            <w:proofErr w:type="spellStart"/>
            <w:r w:rsidRPr="007F00C7">
              <w:rPr>
                <w:rFonts w:ascii="Times New Roman" w:hAnsi="Times New Roman" w:cs="Times New Roman"/>
                <w:b/>
                <w:color w:val="000000"/>
                <w:sz w:val="20"/>
                <w:szCs w:val="20"/>
              </w:rPr>
              <w:t>LayerStacking</w:t>
            </w:r>
            <w:proofErr w:type="spellEnd"/>
          </w:p>
        </w:tc>
        <w:tc>
          <w:tcPr>
            <w:tcW w:w="1062" w:type="dxa"/>
            <w:tcBorders>
              <w:top w:val="single" w:sz="8" w:space="0" w:color="auto"/>
              <w:left w:val="nil"/>
              <w:bottom w:val="nil"/>
              <w:right w:val="nil"/>
            </w:tcBorders>
            <w:shd w:val="clear" w:color="auto" w:fill="FFFFFF"/>
            <w:tcMar>
              <w:top w:w="0" w:type="dxa"/>
              <w:left w:w="0" w:type="dxa"/>
              <w:bottom w:w="0" w:type="dxa"/>
              <w:right w:w="0" w:type="dxa"/>
            </w:tcMar>
          </w:tcPr>
          <w:p w14:paraId="00000098" w14:textId="77777777" w:rsidR="001527B5" w:rsidRPr="007F00C7" w:rsidRDefault="00000000">
            <w:pPr>
              <w:pBdr>
                <w:top w:val="none" w:sz="0" w:space="0" w:color="000000"/>
                <w:left w:val="none" w:sz="0" w:space="0" w:color="000000"/>
                <w:bottom w:val="none" w:sz="0" w:space="0" w:color="000000"/>
                <w:right w:val="none" w:sz="0" w:space="0" w:color="000000"/>
              </w:pBdr>
              <w:spacing w:before="100"/>
              <w:ind w:left="100" w:right="100"/>
              <w:jc w:val="right"/>
              <w:rPr>
                <w:rFonts w:ascii="Times New Roman" w:hAnsi="Times New Roman" w:cs="Times New Roman"/>
                <w:sz w:val="20"/>
                <w:szCs w:val="20"/>
              </w:rPr>
            </w:pPr>
            <w:r w:rsidRPr="007F00C7">
              <w:rPr>
                <w:rFonts w:ascii="Times New Roman" w:hAnsi="Times New Roman" w:cs="Times New Roman"/>
                <w:b/>
                <w:color w:val="000000"/>
                <w:sz w:val="20"/>
                <w:szCs w:val="20"/>
              </w:rPr>
              <w:t>4,355</w:t>
            </w:r>
          </w:p>
        </w:tc>
        <w:tc>
          <w:tcPr>
            <w:tcW w:w="969" w:type="dxa"/>
            <w:tcBorders>
              <w:top w:val="single" w:sz="8" w:space="0" w:color="auto"/>
              <w:left w:val="nil"/>
              <w:bottom w:val="nil"/>
              <w:right w:val="nil"/>
            </w:tcBorders>
            <w:shd w:val="clear" w:color="auto" w:fill="FFFFFF"/>
            <w:tcMar>
              <w:top w:w="0" w:type="dxa"/>
              <w:left w:w="0" w:type="dxa"/>
              <w:bottom w:w="0" w:type="dxa"/>
              <w:right w:w="0" w:type="dxa"/>
            </w:tcMar>
          </w:tcPr>
          <w:p w14:paraId="00000099" w14:textId="77777777" w:rsidR="001527B5" w:rsidRPr="007F00C7" w:rsidRDefault="00000000">
            <w:pPr>
              <w:pBdr>
                <w:top w:val="none" w:sz="0" w:space="0" w:color="000000"/>
                <w:left w:val="none" w:sz="0" w:space="0" w:color="000000"/>
                <w:bottom w:val="none" w:sz="0" w:space="0" w:color="000000"/>
                <w:right w:val="none" w:sz="0" w:space="0" w:color="000000"/>
              </w:pBdr>
              <w:spacing w:before="100"/>
              <w:ind w:left="100" w:right="100"/>
              <w:jc w:val="right"/>
              <w:rPr>
                <w:rFonts w:ascii="Times New Roman" w:hAnsi="Times New Roman" w:cs="Times New Roman"/>
                <w:sz w:val="20"/>
                <w:szCs w:val="20"/>
              </w:rPr>
            </w:pPr>
            <w:r w:rsidRPr="007F00C7">
              <w:rPr>
                <w:rFonts w:ascii="Times New Roman" w:hAnsi="Times New Roman" w:cs="Times New Roman"/>
                <w:b/>
                <w:color w:val="000000"/>
                <w:sz w:val="20"/>
                <w:szCs w:val="20"/>
              </w:rPr>
              <w:t>4,196</w:t>
            </w:r>
          </w:p>
        </w:tc>
        <w:tc>
          <w:tcPr>
            <w:tcW w:w="1091" w:type="dxa"/>
            <w:tcBorders>
              <w:top w:val="single" w:sz="8" w:space="0" w:color="auto"/>
              <w:left w:val="nil"/>
              <w:bottom w:val="nil"/>
              <w:right w:val="nil"/>
            </w:tcBorders>
            <w:shd w:val="clear" w:color="auto" w:fill="FFFFFF"/>
            <w:tcMar>
              <w:top w:w="0" w:type="dxa"/>
              <w:left w:w="0" w:type="dxa"/>
              <w:bottom w:w="0" w:type="dxa"/>
              <w:right w:w="0" w:type="dxa"/>
            </w:tcMar>
          </w:tcPr>
          <w:p w14:paraId="0000009A" w14:textId="77777777" w:rsidR="001527B5" w:rsidRPr="007F00C7" w:rsidRDefault="00000000">
            <w:pPr>
              <w:pBdr>
                <w:top w:val="none" w:sz="0" w:space="0" w:color="000000"/>
                <w:left w:val="none" w:sz="0" w:space="0" w:color="000000"/>
                <w:bottom w:val="none" w:sz="0" w:space="0" w:color="000000"/>
                <w:right w:val="none" w:sz="0" w:space="0" w:color="000000"/>
              </w:pBdr>
              <w:spacing w:before="100"/>
              <w:ind w:left="100" w:right="100"/>
              <w:jc w:val="right"/>
              <w:rPr>
                <w:rFonts w:ascii="Times New Roman" w:hAnsi="Times New Roman" w:cs="Times New Roman"/>
                <w:sz w:val="20"/>
                <w:szCs w:val="20"/>
              </w:rPr>
            </w:pPr>
            <w:r w:rsidRPr="007F00C7">
              <w:rPr>
                <w:rFonts w:ascii="Times New Roman" w:hAnsi="Times New Roman" w:cs="Times New Roman"/>
                <w:b/>
                <w:color w:val="000000"/>
                <w:sz w:val="20"/>
                <w:szCs w:val="20"/>
              </w:rPr>
              <w:t>0.96</w:t>
            </w:r>
          </w:p>
        </w:tc>
        <w:tc>
          <w:tcPr>
            <w:tcW w:w="838" w:type="dxa"/>
            <w:tcBorders>
              <w:top w:val="single" w:sz="8" w:space="0" w:color="auto"/>
              <w:left w:val="nil"/>
              <w:bottom w:val="nil"/>
              <w:right w:val="nil"/>
            </w:tcBorders>
            <w:shd w:val="clear" w:color="auto" w:fill="FFFFFF"/>
            <w:tcMar>
              <w:top w:w="0" w:type="dxa"/>
              <w:left w:w="0" w:type="dxa"/>
              <w:bottom w:w="0" w:type="dxa"/>
              <w:right w:w="0" w:type="dxa"/>
            </w:tcMar>
          </w:tcPr>
          <w:p w14:paraId="0000009B" w14:textId="77777777" w:rsidR="001527B5" w:rsidRPr="007F00C7" w:rsidRDefault="00000000">
            <w:pPr>
              <w:pBdr>
                <w:top w:val="none" w:sz="0" w:space="0" w:color="000000"/>
                <w:left w:val="none" w:sz="0" w:space="0" w:color="000000"/>
                <w:bottom w:val="none" w:sz="0" w:space="0" w:color="000000"/>
                <w:right w:val="none" w:sz="0" w:space="0" w:color="000000"/>
              </w:pBdr>
              <w:spacing w:before="100"/>
              <w:ind w:left="100" w:right="100"/>
              <w:jc w:val="right"/>
              <w:rPr>
                <w:rFonts w:ascii="Times New Roman" w:hAnsi="Times New Roman" w:cs="Times New Roman"/>
                <w:sz w:val="20"/>
                <w:szCs w:val="20"/>
              </w:rPr>
            </w:pPr>
            <w:r w:rsidRPr="007F00C7">
              <w:rPr>
                <w:rFonts w:ascii="Times New Roman" w:hAnsi="Times New Roman" w:cs="Times New Roman"/>
                <w:b/>
                <w:color w:val="000000"/>
                <w:sz w:val="20"/>
                <w:szCs w:val="20"/>
              </w:rPr>
              <w:t>0.55</w:t>
            </w:r>
          </w:p>
        </w:tc>
        <w:tc>
          <w:tcPr>
            <w:tcW w:w="990" w:type="dxa"/>
            <w:tcBorders>
              <w:top w:val="single" w:sz="8" w:space="0" w:color="auto"/>
              <w:left w:val="nil"/>
              <w:bottom w:val="nil"/>
              <w:right w:val="nil"/>
            </w:tcBorders>
            <w:shd w:val="clear" w:color="auto" w:fill="FFFFFF"/>
            <w:tcMar>
              <w:top w:w="0" w:type="dxa"/>
              <w:left w:w="0" w:type="dxa"/>
              <w:bottom w:w="0" w:type="dxa"/>
              <w:right w:w="0" w:type="dxa"/>
            </w:tcMar>
          </w:tcPr>
          <w:p w14:paraId="0000009C" w14:textId="77777777" w:rsidR="001527B5" w:rsidRPr="007F00C7" w:rsidRDefault="00000000">
            <w:pPr>
              <w:pBdr>
                <w:top w:val="none" w:sz="0" w:space="0" w:color="000000"/>
                <w:left w:val="none" w:sz="0" w:space="0" w:color="000000"/>
                <w:bottom w:val="none" w:sz="0" w:space="0" w:color="000000"/>
                <w:right w:val="none" w:sz="0" w:space="0" w:color="000000"/>
              </w:pBdr>
              <w:spacing w:before="100"/>
              <w:ind w:left="100" w:right="100"/>
              <w:jc w:val="right"/>
              <w:rPr>
                <w:rFonts w:ascii="Times New Roman" w:hAnsi="Times New Roman" w:cs="Times New Roman"/>
                <w:sz w:val="20"/>
                <w:szCs w:val="20"/>
              </w:rPr>
            </w:pPr>
            <w:r w:rsidRPr="007F00C7">
              <w:rPr>
                <w:rFonts w:ascii="Times New Roman" w:hAnsi="Times New Roman" w:cs="Times New Roman"/>
                <w:b/>
                <w:color w:val="000000"/>
                <w:sz w:val="20"/>
                <w:szCs w:val="20"/>
              </w:rPr>
              <w:t>0.55</w:t>
            </w:r>
          </w:p>
        </w:tc>
        <w:tc>
          <w:tcPr>
            <w:tcW w:w="810" w:type="dxa"/>
            <w:tcBorders>
              <w:top w:val="single" w:sz="8" w:space="0" w:color="auto"/>
              <w:left w:val="nil"/>
              <w:bottom w:val="nil"/>
              <w:right w:val="nil"/>
            </w:tcBorders>
            <w:shd w:val="clear" w:color="auto" w:fill="FFFFFF"/>
            <w:tcMar>
              <w:top w:w="0" w:type="dxa"/>
              <w:left w:w="0" w:type="dxa"/>
              <w:bottom w:w="0" w:type="dxa"/>
              <w:right w:w="0" w:type="dxa"/>
            </w:tcMar>
          </w:tcPr>
          <w:p w14:paraId="0000009D" w14:textId="77777777" w:rsidR="001527B5" w:rsidRPr="007F00C7" w:rsidRDefault="00000000">
            <w:pPr>
              <w:pBdr>
                <w:top w:val="none" w:sz="0" w:space="0" w:color="000000"/>
                <w:left w:val="none" w:sz="0" w:space="0" w:color="000000"/>
                <w:bottom w:val="none" w:sz="0" w:space="0" w:color="000000"/>
                <w:right w:val="none" w:sz="0" w:space="0" w:color="000000"/>
              </w:pBdr>
              <w:spacing w:before="100"/>
              <w:ind w:left="100" w:right="100"/>
              <w:jc w:val="right"/>
              <w:rPr>
                <w:rFonts w:ascii="Times New Roman" w:hAnsi="Times New Roman" w:cs="Times New Roman"/>
                <w:sz w:val="20"/>
                <w:szCs w:val="20"/>
              </w:rPr>
            </w:pPr>
            <w:r w:rsidRPr="007F00C7">
              <w:rPr>
                <w:rFonts w:ascii="Times New Roman" w:hAnsi="Times New Roman" w:cs="Times New Roman"/>
                <w:b/>
                <w:color w:val="000000"/>
                <w:sz w:val="20"/>
                <w:szCs w:val="20"/>
              </w:rPr>
              <w:t>0.49</w:t>
            </w:r>
          </w:p>
        </w:tc>
        <w:tc>
          <w:tcPr>
            <w:tcW w:w="900" w:type="dxa"/>
            <w:tcBorders>
              <w:top w:val="single" w:sz="8" w:space="0" w:color="auto"/>
              <w:left w:val="nil"/>
              <w:bottom w:val="nil"/>
              <w:right w:val="nil"/>
            </w:tcBorders>
            <w:shd w:val="clear" w:color="auto" w:fill="FFFFFF"/>
            <w:tcMar>
              <w:top w:w="0" w:type="dxa"/>
              <w:left w:w="0" w:type="dxa"/>
              <w:bottom w:w="0" w:type="dxa"/>
              <w:right w:w="0" w:type="dxa"/>
            </w:tcMar>
          </w:tcPr>
          <w:p w14:paraId="0000009E" w14:textId="77777777" w:rsidR="001527B5" w:rsidRPr="007F00C7" w:rsidRDefault="00000000">
            <w:pPr>
              <w:pBdr>
                <w:top w:val="none" w:sz="0" w:space="0" w:color="000000"/>
                <w:left w:val="none" w:sz="0" w:space="0" w:color="000000"/>
                <w:bottom w:val="none" w:sz="0" w:space="0" w:color="000000"/>
                <w:right w:val="none" w:sz="0" w:space="0" w:color="000000"/>
              </w:pBdr>
              <w:spacing w:before="100"/>
              <w:ind w:left="100" w:right="100"/>
              <w:jc w:val="right"/>
              <w:rPr>
                <w:rFonts w:ascii="Times New Roman" w:hAnsi="Times New Roman" w:cs="Times New Roman"/>
                <w:sz w:val="20"/>
                <w:szCs w:val="20"/>
              </w:rPr>
            </w:pPr>
            <w:r w:rsidRPr="007F00C7">
              <w:rPr>
                <w:rFonts w:ascii="Times New Roman" w:hAnsi="Times New Roman" w:cs="Times New Roman"/>
                <w:b/>
                <w:color w:val="000000"/>
                <w:sz w:val="20"/>
                <w:szCs w:val="20"/>
              </w:rPr>
              <w:t>0.51</w:t>
            </w:r>
          </w:p>
        </w:tc>
        <w:tc>
          <w:tcPr>
            <w:tcW w:w="900" w:type="dxa"/>
            <w:tcBorders>
              <w:top w:val="single" w:sz="8" w:space="0" w:color="auto"/>
              <w:left w:val="nil"/>
              <w:bottom w:val="nil"/>
              <w:right w:val="nil"/>
            </w:tcBorders>
            <w:shd w:val="clear" w:color="auto" w:fill="FFFFFF"/>
            <w:tcMar>
              <w:top w:w="0" w:type="dxa"/>
              <w:left w:w="0" w:type="dxa"/>
              <w:bottom w:w="0" w:type="dxa"/>
              <w:right w:w="0" w:type="dxa"/>
            </w:tcMar>
          </w:tcPr>
          <w:p w14:paraId="0000009F" w14:textId="77777777" w:rsidR="001527B5" w:rsidRPr="007F00C7" w:rsidRDefault="00000000">
            <w:pPr>
              <w:pBdr>
                <w:top w:val="none" w:sz="0" w:space="0" w:color="000000"/>
                <w:left w:val="none" w:sz="0" w:space="0" w:color="000000"/>
                <w:bottom w:val="none" w:sz="0" w:space="0" w:color="000000"/>
                <w:right w:val="none" w:sz="0" w:space="0" w:color="000000"/>
              </w:pBdr>
              <w:spacing w:before="100"/>
              <w:ind w:left="100" w:right="100"/>
              <w:jc w:val="right"/>
              <w:rPr>
                <w:rFonts w:ascii="Times New Roman" w:hAnsi="Times New Roman" w:cs="Times New Roman"/>
                <w:sz w:val="20"/>
                <w:szCs w:val="20"/>
              </w:rPr>
            </w:pPr>
            <w:r w:rsidRPr="007F00C7">
              <w:rPr>
                <w:rFonts w:ascii="Times New Roman" w:hAnsi="Times New Roman" w:cs="Times New Roman"/>
                <w:b/>
                <w:color w:val="000000"/>
                <w:sz w:val="20"/>
                <w:szCs w:val="20"/>
              </w:rPr>
              <w:t>2.45</w:t>
            </w:r>
          </w:p>
        </w:tc>
        <w:tc>
          <w:tcPr>
            <w:tcW w:w="810" w:type="dxa"/>
            <w:tcBorders>
              <w:top w:val="single" w:sz="8" w:space="0" w:color="auto"/>
              <w:left w:val="nil"/>
              <w:bottom w:val="nil"/>
              <w:right w:val="nil"/>
            </w:tcBorders>
            <w:shd w:val="clear" w:color="auto" w:fill="FFFFFF"/>
            <w:tcMar>
              <w:top w:w="0" w:type="dxa"/>
              <w:left w:w="0" w:type="dxa"/>
              <w:bottom w:w="0" w:type="dxa"/>
              <w:right w:w="0" w:type="dxa"/>
            </w:tcMar>
          </w:tcPr>
          <w:p w14:paraId="000000A0" w14:textId="77777777" w:rsidR="001527B5" w:rsidRPr="007F00C7" w:rsidRDefault="00000000">
            <w:pPr>
              <w:pBdr>
                <w:top w:val="none" w:sz="0" w:space="0" w:color="000000"/>
                <w:left w:val="none" w:sz="0" w:space="0" w:color="000000"/>
                <w:bottom w:val="none" w:sz="0" w:space="0" w:color="000000"/>
                <w:right w:val="none" w:sz="0" w:space="0" w:color="000000"/>
              </w:pBdr>
              <w:spacing w:before="100"/>
              <w:ind w:left="100" w:right="100"/>
              <w:jc w:val="right"/>
              <w:rPr>
                <w:rFonts w:ascii="Times New Roman" w:hAnsi="Times New Roman" w:cs="Times New Roman"/>
                <w:sz w:val="20"/>
                <w:szCs w:val="20"/>
              </w:rPr>
            </w:pPr>
            <w:r w:rsidRPr="007F00C7">
              <w:rPr>
                <w:rFonts w:ascii="Times New Roman" w:hAnsi="Times New Roman" w:cs="Times New Roman"/>
                <w:b/>
                <w:color w:val="000000"/>
                <w:sz w:val="20"/>
                <w:szCs w:val="20"/>
              </w:rPr>
              <w:t>1.46</w:t>
            </w:r>
          </w:p>
        </w:tc>
        <w:tc>
          <w:tcPr>
            <w:tcW w:w="810" w:type="dxa"/>
            <w:tcBorders>
              <w:top w:val="single" w:sz="8" w:space="0" w:color="auto"/>
              <w:left w:val="nil"/>
              <w:bottom w:val="nil"/>
              <w:right w:val="nil"/>
            </w:tcBorders>
            <w:shd w:val="clear" w:color="auto" w:fill="FFFFFF"/>
            <w:tcMar>
              <w:top w:w="0" w:type="dxa"/>
              <w:left w:w="0" w:type="dxa"/>
              <w:bottom w:w="0" w:type="dxa"/>
              <w:right w:w="0" w:type="dxa"/>
            </w:tcMar>
          </w:tcPr>
          <w:p w14:paraId="000000A1" w14:textId="77777777" w:rsidR="001527B5" w:rsidRPr="007F00C7" w:rsidRDefault="00000000">
            <w:pPr>
              <w:pBdr>
                <w:top w:val="none" w:sz="0" w:space="0" w:color="000000"/>
                <w:left w:val="none" w:sz="0" w:space="0" w:color="000000"/>
                <w:bottom w:val="none" w:sz="0" w:space="0" w:color="000000"/>
                <w:right w:val="none" w:sz="0" w:space="0" w:color="000000"/>
              </w:pBdr>
              <w:spacing w:before="100"/>
              <w:ind w:left="100" w:right="100"/>
              <w:jc w:val="right"/>
              <w:rPr>
                <w:rFonts w:ascii="Times New Roman" w:hAnsi="Times New Roman" w:cs="Times New Roman"/>
                <w:sz w:val="20"/>
                <w:szCs w:val="20"/>
              </w:rPr>
            </w:pPr>
            <w:r w:rsidRPr="007F00C7">
              <w:rPr>
                <w:rFonts w:ascii="Times New Roman" w:hAnsi="Times New Roman" w:cs="Times New Roman"/>
                <w:b/>
                <w:color w:val="000000"/>
                <w:sz w:val="20"/>
                <w:szCs w:val="20"/>
              </w:rPr>
              <w:t>2.85</w:t>
            </w:r>
          </w:p>
        </w:tc>
        <w:tc>
          <w:tcPr>
            <w:tcW w:w="989" w:type="dxa"/>
            <w:tcBorders>
              <w:top w:val="single" w:sz="8" w:space="0" w:color="auto"/>
              <w:left w:val="nil"/>
              <w:bottom w:val="nil"/>
              <w:right w:val="nil"/>
            </w:tcBorders>
            <w:shd w:val="clear" w:color="auto" w:fill="FFFFFF"/>
            <w:tcMar>
              <w:top w:w="0" w:type="dxa"/>
              <w:left w:w="0" w:type="dxa"/>
              <w:bottom w:w="0" w:type="dxa"/>
              <w:right w:w="0" w:type="dxa"/>
            </w:tcMar>
          </w:tcPr>
          <w:p w14:paraId="000000A2" w14:textId="77777777" w:rsidR="001527B5" w:rsidRPr="007F00C7" w:rsidRDefault="00000000">
            <w:pPr>
              <w:pBdr>
                <w:top w:val="none" w:sz="0" w:space="0" w:color="000000"/>
                <w:left w:val="none" w:sz="0" w:space="0" w:color="000000"/>
                <w:bottom w:val="none" w:sz="0" w:space="0" w:color="000000"/>
                <w:right w:val="none" w:sz="0" w:space="0" w:color="000000"/>
              </w:pBdr>
              <w:spacing w:before="100"/>
              <w:ind w:left="100" w:right="100"/>
              <w:jc w:val="right"/>
              <w:rPr>
                <w:rFonts w:ascii="Times New Roman" w:hAnsi="Times New Roman" w:cs="Times New Roman"/>
                <w:sz w:val="20"/>
                <w:szCs w:val="20"/>
              </w:rPr>
            </w:pPr>
            <w:r w:rsidRPr="007F00C7">
              <w:rPr>
                <w:rFonts w:ascii="Times New Roman" w:hAnsi="Times New Roman" w:cs="Times New Roman"/>
                <w:b/>
                <w:color w:val="000000"/>
                <w:sz w:val="20"/>
                <w:szCs w:val="20"/>
              </w:rPr>
              <w:t>0.53</w:t>
            </w:r>
          </w:p>
        </w:tc>
        <w:tc>
          <w:tcPr>
            <w:tcW w:w="711" w:type="dxa"/>
            <w:tcBorders>
              <w:top w:val="single" w:sz="8" w:space="0" w:color="auto"/>
              <w:left w:val="nil"/>
              <w:bottom w:val="nil"/>
              <w:right w:val="nil"/>
            </w:tcBorders>
            <w:shd w:val="clear" w:color="auto" w:fill="FFFFFF"/>
            <w:tcMar>
              <w:top w:w="0" w:type="dxa"/>
              <w:left w:w="0" w:type="dxa"/>
              <w:bottom w:w="0" w:type="dxa"/>
              <w:right w:w="0" w:type="dxa"/>
            </w:tcMar>
          </w:tcPr>
          <w:p w14:paraId="000000A3" w14:textId="77777777" w:rsidR="001527B5" w:rsidRPr="007F00C7" w:rsidRDefault="00000000">
            <w:pPr>
              <w:pBdr>
                <w:top w:val="none" w:sz="0" w:space="0" w:color="000000"/>
                <w:left w:val="none" w:sz="0" w:space="0" w:color="000000"/>
                <w:bottom w:val="none" w:sz="0" w:space="0" w:color="000000"/>
                <w:right w:val="none" w:sz="0" w:space="0" w:color="000000"/>
              </w:pBdr>
              <w:spacing w:before="100"/>
              <w:ind w:left="100" w:right="100"/>
              <w:jc w:val="right"/>
              <w:rPr>
                <w:rFonts w:ascii="Times New Roman" w:hAnsi="Times New Roman" w:cs="Times New Roman"/>
                <w:sz w:val="20"/>
                <w:szCs w:val="20"/>
              </w:rPr>
            </w:pPr>
            <w:r w:rsidRPr="007F00C7">
              <w:rPr>
                <w:rFonts w:ascii="Times New Roman" w:hAnsi="Times New Roman" w:cs="Times New Roman"/>
                <w:b/>
                <w:color w:val="000000"/>
                <w:sz w:val="20"/>
                <w:szCs w:val="20"/>
              </w:rPr>
              <w:t>0.55</w:t>
            </w:r>
          </w:p>
        </w:tc>
        <w:tc>
          <w:tcPr>
            <w:tcW w:w="550" w:type="dxa"/>
            <w:tcBorders>
              <w:top w:val="single" w:sz="8" w:space="0" w:color="auto"/>
              <w:left w:val="nil"/>
              <w:bottom w:val="nil"/>
              <w:right w:val="nil"/>
            </w:tcBorders>
            <w:shd w:val="clear" w:color="auto" w:fill="FFFFFF"/>
            <w:tcMar>
              <w:top w:w="0" w:type="dxa"/>
              <w:left w:w="0" w:type="dxa"/>
              <w:bottom w:w="0" w:type="dxa"/>
              <w:right w:w="0" w:type="dxa"/>
            </w:tcMar>
          </w:tcPr>
          <w:p w14:paraId="000000A4" w14:textId="77777777" w:rsidR="001527B5" w:rsidRPr="007F00C7" w:rsidRDefault="00000000">
            <w:pPr>
              <w:pBdr>
                <w:top w:val="none" w:sz="0" w:space="0" w:color="000000"/>
                <w:left w:val="none" w:sz="0" w:space="0" w:color="000000"/>
                <w:bottom w:val="none" w:sz="0" w:space="0" w:color="000000"/>
                <w:right w:val="none" w:sz="0" w:space="0" w:color="000000"/>
              </w:pBdr>
              <w:spacing w:before="100"/>
              <w:ind w:left="100" w:right="100"/>
              <w:jc w:val="right"/>
              <w:rPr>
                <w:rFonts w:ascii="Times New Roman" w:hAnsi="Times New Roman" w:cs="Times New Roman"/>
                <w:sz w:val="20"/>
                <w:szCs w:val="20"/>
              </w:rPr>
            </w:pPr>
            <w:r w:rsidRPr="007F00C7">
              <w:rPr>
                <w:rFonts w:ascii="Times New Roman" w:hAnsi="Times New Roman" w:cs="Times New Roman"/>
                <w:b/>
                <w:color w:val="000000"/>
                <w:sz w:val="20"/>
                <w:szCs w:val="20"/>
              </w:rPr>
              <w:t>0.51</w:t>
            </w:r>
          </w:p>
        </w:tc>
      </w:tr>
      <w:tr w:rsidR="001410AD" w:rsidRPr="007F00C7" w14:paraId="430793C3" w14:textId="77777777" w:rsidTr="001410AD">
        <w:trPr>
          <w:cantSplit/>
          <w:jc w:val="center"/>
        </w:trPr>
        <w:tc>
          <w:tcPr>
            <w:tcW w:w="1530" w:type="dxa"/>
            <w:tcBorders>
              <w:top w:val="nil"/>
              <w:left w:val="nil"/>
              <w:bottom w:val="nil"/>
              <w:right w:val="nil"/>
            </w:tcBorders>
            <w:shd w:val="clear" w:color="auto" w:fill="FFFFFF"/>
            <w:tcMar>
              <w:top w:w="0" w:type="dxa"/>
              <w:left w:w="0" w:type="dxa"/>
              <w:bottom w:w="0" w:type="dxa"/>
              <w:right w:w="0" w:type="dxa"/>
            </w:tcMar>
          </w:tcPr>
          <w:p w14:paraId="000000A5" w14:textId="77777777" w:rsidR="001527B5" w:rsidRPr="007F00C7" w:rsidRDefault="00000000">
            <w:pPr>
              <w:pBdr>
                <w:top w:val="none" w:sz="0" w:space="0" w:color="000000"/>
                <w:left w:val="none" w:sz="0" w:space="0" w:color="000000"/>
                <w:bottom w:val="none" w:sz="0" w:space="0" w:color="000000"/>
                <w:right w:val="none" w:sz="0" w:space="0" w:color="000000"/>
              </w:pBdr>
              <w:spacing w:before="100"/>
              <w:ind w:left="100" w:right="100"/>
              <w:rPr>
                <w:rFonts w:ascii="Times New Roman" w:hAnsi="Times New Roman" w:cs="Times New Roman"/>
                <w:sz w:val="20"/>
                <w:szCs w:val="20"/>
              </w:rPr>
            </w:pPr>
            <w:r w:rsidRPr="007F00C7">
              <w:rPr>
                <w:rFonts w:ascii="Times New Roman" w:hAnsi="Times New Roman" w:cs="Times New Roman"/>
                <w:color w:val="000000"/>
                <w:sz w:val="20"/>
                <w:szCs w:val="20"/>
              </w:rPr>
              <w:t>Li (2012)</w:t>
            </w:r>
          </w:p>
        </w:tc>
        <w:tc>
          <w:tcPr>
            <w:tcW w:w="1062" w:type="dxa"/>
            <w:tcBorders>
              <w:top w:val="nil"/>
              <w:left w:val="nil"/>
              <w:bottom w:val="nil"/>
              <w:right w:val="nil"/>
            </w:tcBorders>
            <w:shd w:val="clear" w:color="auto" w:fill="FFFFFF"/>
            <w:tcMar>
              <w:top w:w="0" w:type="dxa"/>
              <w:left w:w="0" w:type="dxa"/>
              <w:bottom w:w="0" w:type="dxa"/>
              <w:right w:w="0" w:type="dxa"/>
            </w:tcMar>
          </w:tcPr>
          <w:p w14:paraId="000000A6" w14:textId="77777777" w:rsidR="001527B5" w:rsidRPr="007F00C7" w:rsidRDefault="00000000">
            <w:pPr>
              <w:pBdr>
                <w:top w:val="none" w:sz="0" w:space="0" w:color="000000"/>
                <w:left w:val="none" w:sz="0" w:space="0" w:color="000000"/>
                <w:bottom w:val="none" w:sz="0" w:space="0" w:color="000000"/>
                <w:right w:val="none" w:sz="0" w:space="0" w:color="000000"/>
              </w:pBdr>
              <w:spacing w:before="100"/>
              <w:ind w:left="100" w:right="100"/>
              <w:jc w:val="right"/>
              <w:rPr>
                <w:rFonts w:ascii="Times New Roman" w:hAnsi="Times New Roman" w:cs="Times New Roman"/>
                <w:sz w:val="20"/>
                <w:szCs w:val="20"/>
              </w:rPr>
            </w:pPr>
            <w:r w:rsidRPr="007F00C7">
              <w:rPr>
                <w:rFonts w:ascii="Times New Roman" w:hAnsi="Times New Roman" w:cs="Times New Roman"/>
                <w:color w:val="000000"/>
                <w:sz w:val="20"/>
                <w:szCs w:val="20"/>
              </w:rPr>
              <w:t>4,355</w:t>
            </w:r>
          </w:p>
        </w:tc>
        <w:tc>
          <w:tcPr>
            <w:tcW w:w="969" w:type="dxa"/>
            <w:tcBorders>
              <w:top w:val="nil"/>
              <w:left w:val="nil"/>
              <w:bottom w:val="nil"/>
              <w:right w:val="nil"/>
            </w:tcBorders>
            <w:shd w:val="clear" w:color="auto" w:fill="FFFFFF"/>
            <w:tcMar>
              <w:top w:w="0" w:type="dxa"/>
              <w:left w:w="0" w:type="dxa"/>
              <w:bottom w:w="0" w:type="dxa"/>
              <w:right w:w="0" w:type="dxa"/>
            </w:tcMar>
          </w:tcPr>
          <w:p w14:paraId="000000A7" w14:textId="77777777" w:rsidR="001527B5" w:rsidRPr="007F00C7" w:rsidRDefault="00000000">
            <w:pPr>
              <w:pBdr>
                <w:top w:val="none" w:sz="0" w:space="0" w:color="000000"/>
                <w:left w:val="none" w:sz="0" w:space="0" w:color="000000"/>
                <w:bottom w:val="none" w:sz="0" w:space="0" w:color="000000"/>
                <w:right w:val="none" w:sz="0" w:space="0" w:color="000000"/>
              </w:pBdr>
              <w:spacing w:before="100"/>
              <w:ind w:left="100" w:right="100"/>
              <w:jc w:val="right"/>
              <w:rPr>
                <w:rFonts w:ascii="Times New Roman" w:hAnsi="Times New Roman" w:cs="Times New Roman"/>
                <w:sz w:val="20"/>
                <w:szCs w:val="20"/>
              </w:rPr>
            </w:pPr>
            <w:r w:rsidRPr="007F00C7">
              <w:rPr>
                <w:rFonts w:ascii="Times New Roman" w:hAnsi="Times New Roman" w:cs="Times New Roman"/>
                <w:color w:val="000000"/>
                <w:sz w:val="20"/>
                <w:szCs w:val="20"/>
              </w:rPr>
              <w:t>3,247</w:t>
            </w:r>
          </w:p>
        </w:tc>
        <w:tc>
          <w:tcPr>
            <w:tcW w:w="1091" w:type="dxa"/>
            <w:tcBorders>
              <w:top w:val="nil"/>
              <w:left w:val="nil"/>
              <w:bottom w:val="nil"/>
              <w:right w:val="nil"/>
            </w:tcBorders>
            <w:shd w:val="clear" w:color="auto" w:fill="FFFFFF"/>
            <w:tcMar>
              <w:top w:w="0" w:type="dxa"/>
              <w:left w:w="0" w:type="dxa"/>
              <w:bottom w:w="0" w:type="dxa"/>
              <w:right w:w="0" w:type="dxa"/>
            </w:tcMar>
          </w:tcPr>
          <w:p w14:paraId="000000A8" w14:textId="77777777" w:rsidR="001527B5" w:rsidRPr="007F00C7" w:rsidRDefault="00000000">
            <w:pPr>
              <w:pBdr>
                <w:top w:val="none" w:sz="0" w:space="0" w:color="000000"/>
                <w:left w:val="none" w:sz="0" w:space="0" w:color="000000"/>
                <w:bottom w:val="none" w:sz="0" w:space="0" w:color="000000"/>
                <w:right w:val="none" w:sz="0" w:space="0" w:color="000000"/>
              </w:pBdr>
              <w:spacing w:before="100"/>
              <w:ind w:left="100" w:right="100"/>
              <w:jc w:val="right"/>
              <w:rPr>
                <w:rFonts w:ascii="Times New Roman" w:hAnsi="Times New Roman" w:cs="Times New Roman"/>
                <w:sz w:val="20"/>
                <w:szCs w:val="20"/>
              </w:rPr>
            </w:pPr>
            <w:r w:rsidRPr="007F00C7">
              <w:rPr>
                <w:rFonts w:ascii="Times New Roman" w:hAnsi="Times New Roman" w:cs="Times New Roman"/>
                <w:color w:val="000000"/>
                <w:sz w:val="20"/>
                <w:szCs w:val="20"/>
              </w:rPr>
              <w:t>0.75</w:t>
            </w:r>
          </w:p>
        </w:tc>
        <w:tc>
          <w:tcPr>
            <w:tcW w:w="838" w:type="dxa"/>
            <w:tcBorders>
              <w:top w:val="nil"/>
              <w:left w:val="nil"/>
              <w:bottom w:val="nil"/>
              <w:right w:val="nil"/>
            </w:tcBorders>
            <w:shd w:val="clear" w:color="auto" w:fill="FFFFFF"/>
            <w:tcMar>
              <w:top w:w="0" w:type="dxa"/>
              <w:left w:w="0" w:type="dxa"/>
              <w:bottom w:w="0" w:type="dxa"/>
              <w:right w:w="0" w:type="dxa"/>
            </w:tcMar>
          </w:tcPr>
          <w:p w14:paraId="000000A9" w14:textId="77777777" w:rsidR="001527B5" w:rsidRPr="007F00C7" w:rsidRDefault="00000000">
            <w:pPr>
              <w:pBdr>
                <w:top w:val="none" w:sz="0" w:space="0" w:color="000000"/>
                <w:left w:val="none" w:sz="0" w:space="0" w:color="000000"/>
                <w:bottom w:val="none" w:sz="0" w:space="0" w:color="000000"/>
                <w:right w:val="none" w:sz="0" w:space="0" w:color="000000"/>
              </w:pBdr>
              <w:spacing w:before="100"/>
              <w:ind w:left="100" w:right="100"/>
              <w:jc w:val="right"/>
              <w:rPr>
                <w:rFonts w:ascii="Times New Roman" w:hAnsi="Times New Roman" w:cs="Times New Roman"/>
                <w:sz w:val="20"/>
                <w:szCs w:val="20"/>
              </w:rPr>
            </w:pPr>
            <w:r w:rsidRPr="007F00C7">
              <w:rPr>
                <w:rFonts w:ascii="Times New Roman" w:hAnsi="Times New Roman" w:cs="Times New Roman"/>
                <w:color w:val="000000"/>
                <w:sz w:val="20"/>
                <w:szCs w:val="20"/>
              </w:rPr>
              <w:t>0.34</w:t>
            </w:r>
          </w:p>
        </w:tc>
        <w:tc>
          <w:tcPr>
            <w:tcW w:w="990" w:type="dxa"/>
            <w:tcBorders>
              <w:top w:val="nil"/>
              <w:left w:val="nil"/>
              <w:bottom w:val="nil"/>
              <w:right w:val="nil"/>
            </w:tcBorders>
            <w:shd w:val="clear" w:color="auto" w:fill="FFFFFF"/>
            <w:tcMar>
              <w:top w:w="0" w:type="dxa"/>
              <w:left w:w="0" w:type="dxa"/>
              <w:bottom w:w="0" w:type="dxa"/>
              <w:right w:w="0" w:type="dxa"/>
            </w:tcMar>
          </w:tcPr>
          <w:p w14:paraId="000000AA" w14:textId="77777777" w:rsidR="001527B5" w:rsidRPr="007F00C7" w:rsidRDefault="00000000">
            <w:pPr>
              <w:pBdr>
                <w:top w:val="none" w:sz="0" w:space="0" w:color="000000"/>
                <w:left w:val="none" w:sz="0" w:space="0" w:color="000000"/>
                <w:bottom w:val="none" w:sz="0" w:space="0" w:color="000000"/>
                <w:right w:val="none" w:sz="0" w:space="0" w:color="000000"/>
              </w:pBdr>
              <w:spacing w:before="100"/>
              <w:ind w:left="100" w:right="100"/>
              <w:jc w:val="right"/>
              <w:rPr>
                <w:rFonts w:ascii="Times New Roman" w:hAnsi="Times New Roman" w:cs="Times New Roman"/>
                <w:sz w:val="20"/>
                <w:szCs w:val="20"/>
              </w:rPr>
            </w:pPr>
            <w:r w:rsidRPr="007F00C7">
              <w:rPr>
                <w:rFonts w:ascii="Times New Roman" w:hAnsi="Times New Roman" w:cs="Times New Roman"/>
                <w:color w:val="000000"/>
                <w:sz w:val="20"/>
                <w:szCs w:val="20"/>
              </w:rPr>
              <w:t>0.34</w:t>
            </w:r>
          </w:p>
        </w:tc>
        <w:tc>
          <w:tcPr>
            <w:tcW w:w="810" w:type="dxa"/>
            <w:tcBorders>
              <w:top w:val="nil"/>
              <w:left w:val="nil"/>
              <w:bottom w:val="nil"/>
              <w:right w:val="nil"/>
            </w:tcBorders>
            <w:shd w:val="clear" w:color="auto" w:fill="FFFFFF"/>
            <w:tcMar>
              <w:top w:w="0" w:type="dxa"/>
              <w:left w:w="0" w:type="dxa"/>
              <w:bottom w:w="0" w:type="dxa"/>
              <w:right w:w="0" w:type="dxa"/>
            </w:tcMar>
          </w:tcPr>
          <w:p w14:paraId="000000AB" w14:textId="77777777" w:rsidR="001527B5" w:rsidRPr="007F00C7" w:rsidRDefault="00000000">
            <w:pPr>
              <w:pBdr>
                <w:top w:val="none" w:sz="0" w:space="0" w:color="000000"/>
                <w:left w:val="none" w:sz="0" w:space="0" w:color="000000"/>
                <w:bottom w:val="none" w:sz="0" w:space="0" w:color="000000"/>
                <w:right w:val="none" w:sz="0" w:space="0" w:color="000000"/>
              </w:pBdr>
              <w:spacing w:before="100"/>
              <w:ind w:left="100" w:right="100"/>
              <w:jc w:val="right"/>
              <w:rPr>
                <w:rFonts w:ascii="Times New Roman" w:hAnsi="Times New Roman" w:cs="Times New Roman"/>
                <w:sz w:val="20"/>
                <w:szCs w:val="20"/>
              </w:rPr>
            </w:pPr>
            <w:r w:rsidRPr="007F00C7">
              <w:rPr>
                <w:rFonts w:ascii="Times New Roman" w:hAnsi="Times New Roman" w:cs="Times New Roman"/>
                <w:color w:val="000000"/>
                <w:sz w:val="20"/>
                <w:szCs w:val="20"/>
              </w:rPr>
              <w:t>0.67</w:t>
            </w:r>
          </w:p>
        </w:tc>
        <w:tc>
          <w:tcPr>
            <w:tcW w:w="900" w:type="dxa"/>
            <w:tcBorders>
              <w:top w:val="nil"/>
              <w:left w:val="nil"/>
              <w:bottom w:val="nil"/>
              <w:right w:val="nil"/>
            </w:tcBorders>
            <w:shd w:val="clear" w:color="auto" w:fill="FFFFFF"/>
            <w:tcMar>
              <w:top w:w="0" w:type="dxa"/>
              <w:left w:w="0" w:type="dxa"/>
              <w:bottom w:w="0" w:type="dxa"/>
              <w:right w:w="0" w:type="dxa"/>
            </w:tcMar>
          </w:tcPr>
          <w:p w14:paraId="000000AC" w14:textId="77777777" w:rsidR="001527B5" w:rsidRPr="007F00C7" w:rsidRDefault="00000000">
            <w:pPr>
              <w:pBdr>
                <w:top w:val="none" w:sz="0" w:space="0" w:color="000000"/>
                <w:left w:val="none" w:sz="0" w:space="0" w:color="000000"/>
                <w:bottom w:val="none" w:sz="0" w:space="0" w:color="000000"/>
                <w:right w:val="none" w:sz="0" w:space="0" w:color="000000"/>
              </w:pBdr>
              <w:spacing w:before="100"/>
              <w:ind w:left="100" w:right="100"/>
              <w:jc w:val="right"/>
              <w:rPr>
                <w:rFonts w:ascii="Times New Roman" w:hAnsi="Times New Roman" w:cs="Times New Roman"/>
                <w:sz w:val="20"/>
                <w:szCs w:val="20"/>
              </w:rPr>
            </w:pPr>
            <w:r w:rsidRPr="007F00C7">
              <w:rPr>
                <w:rFonts w:ascii="Times New Roman" w:hAnsi="Times New Roman" w:cs="Times New Roman"/>
                <w:color w:val="000000"/>
                <w:sz w:val="20"/>
                <w:szCs w:val="20"/>
              </w:rPr>
              <w:t>0.59</w:t>
            </w:r>
          </w:p>
        </w:tc>
        <w:tc>
          <w:tcPr>
            <w:tcW w:w="900" w:type="dxa"/>
            <w:tcBorders>
              <w:top w:val="nil"/>
              <w:left w:val="nil"/>
              <w:bottom w:val="nil"/>
              <w:right w:val="nil"/>
            </w:tcBorders>
            <w:shd w:val="clear" w:color="auto" w:fill="FFFFFF"/>
            <w:tcMar>
              <w:top w:w="0" w:type="dxa"/>
              <w:left w:w="0" w:type="dxa"/>
              <w:bottom w:w="0" w:type="dxa"/>
              <w:right w:w="0" w:type="dxa"/>
            </w:tcMar>
          </w:tcPr>
          <w:p w14:paraId="000000AD" w14:textId="77777777" w:rsidR="001527B5" w:rsidRPr="007F00C7" w:rsidRDefault="00000000">
            <w:pPr>
              <w:pBdr>
                <w:top w:val="none" w:sz="0" w:space="0" w:color="000000"/>
                <w:left w:val="none" w:sz="0" w:space="0" w:color="000000"/>
                <w:bottom w:val="none" w:sz="0" w:space="0" w:color="000000"/>
                <w:right w:val="none" w:sz="0" w:space="0" w:color="000000"/>
              </w:pBdr>
              <w:spacing w:before="100"/>
              <w:ind w:left="100" w:right="100"/>
              <w:jc w:val="right"/>
              <w:rPr>
                <w:rFonts w:ascii="Times New Roman" w:hAnsi="Times New Roman" w:cs="Times New Roman"/>
                <w:sz w:val="20"/>
                <w:szCs w:val="20"/>
              </w:rPr>
            </w:pPr>
            <w:r w:rsidRPr="007F00C7">
              <w:rPr>
                <w:rFonts w:ascii="Times New Roman" w:hAnsi="Times New Roman" w:cs="Times New Roman"/>
                <w:color w:val="000000"/>
                <w:sz w:val="20"/>
                <w:szCs w:val="20"/>
              </w:rPr>
              <w:t>2.73</w:t>
            </w:r>
          </w:p>
        </w:tc>
        <w:tc>
          <w:tcPr>
            <w:tcW w:w="810" w:type="dxa"/>
            <w:tcBorders>
              <w:top w:val="nil"/>
              <w:left w:val="nil"/>
              <w:bottom w:val="nil"/>
              <w:right w:val="nil"/>
            </w:tcBorders>
            <w:shd w:val="clear" w:color="auto" w:fill="FFFFFF"/>
            <w:tcMar>
              <w:top w:w="0" w:type="dxa"/>
              <w:left w:w="0" w:type="dxa"/>
              <w:bottom w:w="0" w:type="dxa"/>
              <w:right w:w="0" w:type="dxa"/>
            </w:tcMar>
          </w:tcPr>
          <w:p w14:paraId="000000AE" w14:textId="77777777" w:rsidR="001527B5" w:rsidRPr="007F00C7" w:rsidRDefault="00000000">
            <w:pPr>
              <w:pBdr>
                <w:top w:val="none" w:sz="0" w:space="0" w:color="000000"/>
                <w:left w:val="none" w:sz="0" w:space="0" w:color="000000"/>
                <w:bottom w:val="none" w:sz="0" w:space="0" w:color="000000"/>
                <w:right w:val="none" w:sz="0" w:space="0" w:color="000000"/>
              </w:pBdr>
              <w:spacing w:before="100"/>
              <w:ind w:left="100" w:right="100"/>
              <w:jc w:val="right"/>
              <w:rPr>
                <w:rFonts w:ascii="Times New Roman" w:hAnsi="Times New Roman" w:cs="Times New Roman"/>
                <w:sz w:val="20"/>
                <w:szCs w:val="20"/>
              </w:rPr>
            </w:pPr>
            <w:r w:rsidRPr="007F00C7">
              <w:rPr>
                <w:rFonts w:ascii="Times New Roman" w:hAnsi="Times New Roman" w:cs="Times New Roman"/>
                <w:color w:val="000000"/>
                <w:sz w:val="20"/>
                <w:szCs w:val="20"/>
              </w:rPr>
              <w:t>1.67</w:t>
            </w:r>
          </w:p>
        </w:tc>
        <w:tc>
          <w:tcPr>
            <w:tcW w:w="810" w:type="dxa"/>
            <w:tcBorders>
              <w:top w:val="nil"/>
              <w:left w:val="nil"/>
              <w:bottom w:val="nil"/>
              <w:right w:val="nil"/>
            </w:tcBorders>
            <w:shd w:val="clear" w:color="auto" w:fill="FFFFFF"/>
            <w:tcMar>
              <w:top w:w="0" w:type="dxa"/>
              <w:left w:w="0" w:type="dxa"/>
              <w:bottom w:w="0" w:type="dxa"/>
              <w:right w:w="0" w:type="dxa"/>
            </w:tcMar>
          </w:tcPr>
          <w:p w14:paraId="000000AF" w14:textId="77777777" w:rsidR="001527B5" w:rsidRPr="007F00C7" w:rsidRDefault="00000000">
            <w:pPr>
              <w:pBdr>
                <w:top w:val="none" w:sz="0" w:space="0" w:color="000000"/>
                <w:left w:val="none" w:sz="0" w:space="0" w:color="000000"/>
                <w:bottom w:val="none" w:sz="0" w:space="0" w:color="000000"/>
                <w:right w:val="none" w:sz="0" w:space="0" w:color="000000"/>
              </w:pBdr>
              <w:spacing w:before="100"/>
              <w:ind w:left="100" w:right="100"/>
              <w:jc w:val="right"/>
              <w:rPr>
                <w:rFonts w:ascii="Times New Roman" w:hAnsi="Times New Roman" w:cs="Times New Roman"/>
                <w:sz w:val="20"/>
                <w:szCs w:val="20"/>
              </w:rPr>
            </w:pPr>
            <w:r w:rsidRPr="007F00C7">
              <w:rPr>
                <w:rFonts w:ascii="Times New Roman" w:hAnsi="Times New Roman" w:cs="Times New Roman"/>
                <w:color w:val="000000"/>
                <w:sz w:val="20"/>
                <w:szCs w:val="20"/>
              </w:rPr>
              <w:t>3.21</w:t>
            </w:r>
          </w:p>
        </w:tc>
        <w:tc>
          <w:tcPr>
            <w:tcW w:w="989" w:type="dxa"/>
            <w:tcBorders>
              <w:top w:val="nil"/>
              <w:left w:val="nil"/>
              <w:bottom w:val="nil"/>
              <w:right w:val="nil"/>
            </w:tcBorders>
            <w:shd w:val="clear" w:color="auto" w:fill="FFFFFF"/>
            <w:tcMar>
              <w:top w:w="0" w:type="dxa"/>
              <w:left w:w="0" w:type="dxa"/>
              <w:bottom w:w="0" w:type="dxa"/>
              <w:right w:w="0" w:type="dxa"/>
            </w:tcMar>
          </w:tcPr>
          <w:p w14:paraId="000000B0" w14:textId="77777777" w:rsidR="001527B5" w:rsidRPr="007F00C7" w:rsidRDefault="00000000">
            <w:pPr>
              <w:pBdr>
                <w:top w:val="none" w:sz="0" w:space="0" w:color="000000"/>
                <w:left w:val="none" w:sz="0" w:space="0" w:color="000000"/>
                <w:bottom w:val="none" w:sz="0" w:space="0" w:color="000000"/>
                <w:right w:val="none" w:sz="0" w:space="0" w:color="000000"/>
              </w:pBdr>
              <w:spacing w:before="100"/>
              <w:ind w:left="100" w:right="100"/>
              <w:jc w:val="right"/>
              <w:rPr>
                <w:rFonts w:ascii="Times New Roman" w:hAnsi="Times New Roman" w:cs="Times New Roman"/>
                <w:sz w:val="20"/>
                <w:szCs w:val="20"/>
              </w:rPr>
            </w:pPr>
            <w:r w:rsidRPr="007F00C7">
              <w:rPr>
                <w:rFonts w:ascii="Times New Roman" w:hAnsi="Times New Roman" w:cs="Times New Roman"/>
                <w:color w:val="000000"/>
                <w:sz w:val="20"/>
                <w:szCs w:val="20"/>
              </w:rPr>
              <w:t>0.43</w:t>
            </w:r>
          </w:p>
        </w:tc>
        <w:tc>
          <w:tcPr>
            <w:tcW w:w="711" w:type="dxa"/>
            <w:tcBorders>
              <w:top w:val="nil"/>
              <w:left w:val="nil"/>
              <w:bottom w:val="nil"/>
              <w:right w:val="nil"/>
            </w:tcBorders>
            <w:shd w:val="clear" w:color="auto" w:fill="FFFFFF"/>
            <w:tcMar>
              <w:top w:w="0" w:type="dxa"/>
              <w:left w:w="0" w:type="dxa"/>
              <w:bottom w:w="0" w:type="dxa"/>
              <w:right w:w="0" w:type="dxa"/>
            </w:tcMar>
          </w:tcPr>
          <w:p w14:paraId="000000B1" w14:textId="77777777" w:rsidR="001527B5" w:rsidRPr="007F00C7" w:rsidRDefault="00000000">
            <w:pPr>
              <w:pBdr>
                <w:top w:val="none" w:sz="0" w:space="0" w:color="000000"/>
                <w:left w:val="none" w:sz="0" w:space="0" w:color="000000"/>
                <w:bottom w:val="none" w:sz="0" w:space="0" w:color="000000"/>
                <w:right w:val="none" w:sz="0" w:space="0" w:color="000000"/>
              </w:pBdr>
              <w:spacing w:before="100"/>
              <w:ind w:left="100" w:right="100"/>
              <w:jc w:val="right"/>
              <w:rPr>
                <w:rFonts w:ascii="Times New Roman" w:hAnsi="Times New Roman" w:cs="Times New Roman"/>
                <w:sz w:val="20"/>
                <w:szCs w:val="20"/>
              </w:rPr>
            </w:pPr>
            <w:r w:rsidRPr="007F00C7">
              <w:rPr>
                <w:rFonts w:ascii="Times New Roman" w:hAnsi="Times New Roman" w:cs="Times New Roman"/>
                <w:color w:val="000000"/>
                <w:sz w:val="20"/>
                <w:szCs w:val="20"/>
              </w:rPr>
              <w:t>0.34</w:t>
            </w:r>
          </w:p>
        </w:tc>
        <w:tc>
          <w:tcPr>
            <w:tcW w:w="550" w:type="dxa"/>
            <w:tcBorders>
              <w:top w:val="nil"/>
              <w:left w:val="nil"/>
              <w:bottom w:val="nil"/>
              <w:right w:val="nil"/>
            </w:tcBorders>
            <w:shd w:val="clear" w:color="auto" w:fill="FFFFFF"/>
            <w:tcMar>
              <w:top w:w="0" w:type="dxa"/>
              <w:left w:w="0" w:type="dxa"/>
              <w:bottom w:w="0" w:type="dxa"/>
              <w:right w:w="0" w:type="dxa"/>
            </w:tcMar>
          </w:tcPr>
          <w:p w14:paraId="000000B2" w14:textId="77777777" w:rsidR="001527B5" w:rsidRPr="007F00C7" w:rsidRDefault="00000000">
            <w:pPr>
              <w:pBdr>
                <w:top w:val="none" w:sz="0" w:space="0" w:color="000000"/>
                <w:left w:val="none" w:sz="0" w:space="0" w:color="000000"/>
                <w:bottom w:val="none" w:sz="0" w:space="0" w:color="000000"/>
                <w:right w:val="none" w:sz="0" w:space="0" w:color="000000"/>
              </w:pBdr>
              <w:spacing w:before="100"/>
              <w:ind w:left="100" w:right="100"/>
              <w:jc w:val="right"/>
              <w:rPr>
                <w:rFonts w:ascii="Times New Roman" w:hAnsi="Times New Roman" w:cs="Times New Roman"/>
                <w:sz w:val="20"/>
                <w:szCs w:val="20"/>
              </w:rPr>
            </w:pPr>
            <w:r w:rsidRPr="007F00C7">
              <w:rPr>
                <w:rFonts w:ascii="Times New Roman" w:hAnsi="Times New Roman" w:cs="Times New Roman"/>
                <w:color w:val="000000"/>
                <w:sz w:val="20"/>
                <w:szCs w:val="20"/>
              </w:rPr>
              <w:t>0.37</w:t>
            </w:r>
          </w:p>
        </w:tc>
      </w:tr>
      <w:tr w:rsidR="001410AD" w:rsidRPr="007F00C7" w14:paraId="14BC6DB1" w14:textId="77777777" w:rsidTr="001410AD">
        <w:trPr>
          <w:cantSplit/>
          <w:jc w:val="center"/>
        </w:trPr>
        <w:tc>
          <w:tcPr>
            <w:tcW w:w="1530" w:type="dxa"/>
            <w:tcBorders>
              <w:top w:val="nil"/>
              <w:left w:val="nil"/>
              <w:bottom w:val="nil"/>
              <w:right w:val="nil"/>
            </w:tcBorders>
            <w:shd w:val="clear" w:color="auto" w:fill="FFFFFF"/>
            <w:tcMar>
              <w:top w:w="0" w:type="dxa"/>
              <w:left w:w="0" w:type="dxa"/>
              <w:bottom w:w="0" w:type="dxa"/>
              <w:right w:w="0" w:type="dxa"/>
            </w:tcMar>
          </w:tcPr>
          <w:p w14:paraId="000000B3" w14:textId="77777777" w:rsidR="001527B5" w:rsidRPr="007F00C7" w:rsidRDefault="00000000">
            <w:pPr>
              <w:pBdr>
                <w:top w:val="none" w:sz="0" w:space="0" w:color="000000"/>
                <w:left w:val="none" w:sz="0" w:space="0" w:color="000000"/>
                <w:bottom w:val="none" w:sz="0" w:space="0" w:color="000000"/>
                <w:right w:val="none" w:sz="0" w:space="0" w:color="000000"/>
              </w:pBdr>
              <w:spacing w:before="100"/>
              <w:ind w:left="100" w:right="100"/>
              <w:rPr>
                <w:rFonts w:ascii="Times New Roman" w:hAnsi="Times New Roman" w:cs="Times New Roman"/>
                <w:sz w:val="20"/>
                <w:szCs w:val="20"/>
              </w:rPr>
            </w:pPr>
            <w:r w:rsidRPr="007F00C7">
              <w:rPr>
                <w:rFonts w:ascii="Times New Roman" w:hAnsi="Times New Roman" w:cs="Times New Roman"/>
                <w:color w:val="000000"/>
                <w:sz w:val="20"/>
                <w:szCs w:val="20"/>
              </w:rPr>
              <w:t>LMF-auto</w:t>
            </w:r>
          </w:p>
        </w:tc>
        <w:tc>
          <w:tcPr>
            <w:tcW w:w="1062" w:type="dxa"/>
            <w:tcBorders>
              <w:top w:val="nil"/>
              <w:left w:val="nil"/>
              <w:bottom w:val="nil"/>
              <w:right w:val="nil"/>
            </w:tcBorders>
            <w:shd w:val="clear" w:color="auto" w:fill="FFFFFF"/>
            <w:tcMar>
              <w:top w:w="0" w:type="dxa"/>
              <w:left w:w="0" w:type="dxa"/>
              <w:bottom w:w="0" w:type="dxa"/>
              <w:right w:w="0" w:type="dxa"/>
            </w:tcMar>
          </w:tcPr>
          <w:p w14:paraId="000000B4" w14:textId="77777777" w:rsidR="001527B5" w:rsidRPr="007F00C7" w:rsidRDefault="00000000">
            <w:pPr>
              <w:pBdr>
                <w:top w:val="none" w:sz="0" w:space="0" w:color="000000"/>
                <w:left w:val="none" w:sz="0" w:space="0" w:color="000000"/>
                <w:bottom w:val="none" w:sz="0" w:space="0" w:color="000000"/>
                <w:right w:val="none" w:sz="0" w:space="0" w:color="000000"/>
              </w:pBdr>
              <w:spacing w:before="100"/>
              <w:ind w:left="100" w:right="100"/>
              <w:jc w:val="right"/>
              <w:rPr>
                <w:rFonts w:ascii="Times New Roman" w:hAnsi="Times New Roman" w:cs="Times New Roman"/>
                <w:sz w:val="20"/>
                <w:szCs w:val="20"/>
              </w:rPr>
            </w:pPr>
            <w:r w:rsidRPr="007F00C7">
              <w:rPr>
                <w:rFonts w:ascii="Times New Roman" w:hAnsi="Times New Roman" w:cs="Times New Roman"/>
                <w:color w:val="000000"/>
                <w:sz w:val="20"/>
                <w:szCs w:val="20"/>
              </w:rPr>
              <w:t>4,355</w:t>
            </w:r>
          </w:p>
        </w:tc>
        <w:tc>
          <w:tcPr>
            <w:tcW w:w="969" w:type="dxa"/>
            <w:tcBorders>
              <w:top w:val="nil"/>
              <w:left w:val="nil"/>
              <w:bottom w:val="nil"/>
              <w:right w:val="nil"/>
            </w:tcBorders>
            <w:shd w:val="clear" w:color="auto" w:fill="FFFFFF"/>
            <w:tcMar>
              <w:top w:w="0" w:type="dxa"/>
              <w:left w:w="0" w:type="dxa"/>
              <w:bottom w:w="0" w:type="dxa"/>
              <w:right w:w="0" w:type="dxa"/>
            </w:tcMar>
          </w:tcPr>
          <w:p w14:paraId="000000B5" w14:textId="77777777" w:rsidR="001527B5" w:rsidRPr="007F00C7" w:rsidRDefault="00000000">
            <w:pPr>
              <w:pBdr>
                <w:top w:val="none" w:sz="0" w:space="0" w:color="000000"/>
                <w:left w:val="none" w:sz="0" w:space="0" w:color="000000"/>
                <w:bottom w:val="none" w:sz="0" w:space="0" w:color="000000"/>
                <w:right w:val="none" w:sz="0" w:space="0" w:color="000000"/>
              </w:pBdr>
              <w:spacing w:before="100"/>
              <w:ind w:left="100" w:right="100"/>
              <w:jc w:val="right"/>
              <w:rPr>
                <w:rFonts w:ascii="Times New Roman" w:hAnsi="Times New Roman" w:cs="Times New Roman"/>
                <w:sz w:val="20"/>
                <w:szCs w:val="20"/>
              </w:rPr>
            </w:pPr>
            <w:r w:rsidRPr="007F00C7">
              <w:rPr>
                <w:rFonts w:ascii="Times New Roman" w:hAnsi="Times New Roman" w:cs="Times New Roman"/>
                <w:color w:val="000000"/>
                <w:sz w:val="20"/>
                <w:szCs w:val="20"/>
              </w:rPr>
              <w:t>3,071</w:t>
            </w:r>
          </w:p>
        </w:tc>
        <w:tc>
          <w:tcPr>
            <w:tcW w:w="1091" w:type="dxa"/>
            <w:tcBorders>
              <w:top w:val="nil"/>
              <w:left w:val="nil"/>
              <w:bottom w:val="nil"/>
              <w:right w:val="nil"/>
            </w:tcBorders>
            <w:shd w:val="clear" w:color="auto" w:fill="FFFFFF"/>
            <w:tcMar>
              <w:top w:w="0" w:type="dxa"/>
              <w:left w:w="0" w:type="dxa"/>
              <w:bottom w:w="0" w:type="dxa"/>
              <w:right w:w="0" w:type="dxa"/>
            </w:tcMar>
          </w:tcPr>
          <w:p w14:paraId="000000B6" w14:textId="77777777" w:rsidR="001527B5" w:rsidRPr="007F00C7" w:rsidRDefault="00000000">
            <w:pPr>
              <w:pBdr>
                <w:top w:val="none" w:sz="0" w:space="0" w:color="000000"/>
                <w:left w:val="none" w:sz="0" w:space="0" w:color="000000"/>
                <w:bottom w:val="none" w:sz="0" w:space="0" w:color="000000"/>
                <w:right w:val="none" w:sz="0" w:space="0" w:color="000000"/>
              </w:pBdr>
              <w:spacing w:before="100"/>
              <w:ind w:left="100" w:right="100"/>
              <w:jc w:val="right"/>
              <w:rPr>
                <w:rFonts w:ascii="Times New Roman" w:hAnsi="Times New Roman" w:cs="Times New Roman"/>
                <w:sz w:val="20"/>
                <w:szCs w:val="20"/>
              </w:rPr>
            </w:pPr>
            <w:r w:rsidRPr="007F00C7">
              <w:rPr>
                <w:rFonts w:ascii="Times New Roman" w:hAnsi="Times New Roman" w:cs="Times New Roman"/>
                <w:color w:val="000000"/>
                <w:sz w:val="20"/>
                <w:szCs w:val="20"/>
              </w:rPr>
              <w:t>0.71</w:t>
            </w:r>
          </w:p>
        </w:tc>
        <w:tc>
          <w:tcPr>
            <w:tcW w:w="838" w:type="dxa"/>
            <w:tcBorders>
              <w:top w:val="nil"/>
              <w:left w:val="nil"/>
              <w:bottom w:val="nil"/>
              <w:right w:val="nil"/>
            </w:tcBorders>
            <w:shd w:val="clear" w:color="auto" w:fill="FFFFFF"/>
            <w:tcMar>
              <w:top w:w="0" w:type="dxa"/>
              <w:left w:w="0" w:type="dxa"/>
              <w:bottom w:w="0" w:type="dxa"/>
              <w:right w:w="0" w:type="dxa"/>
            </w:tcMar>
          </w:tcPr>
          <w:p w14:paraId="000000B7" w14:textId="77777777" w:rsidR="001527B5" w:rsidRPr="007F00C7" w:rsidRDefault="00000000">
            <w:pPr>
              <w:pBdr>
                <w:top w:val="none" w:sz="0" w:space="0" w:color="000000"/>
                <w:left w:val="none" w:sz="0" w:space="0" w:color="000000"/>
                <w:bottom w:val="none" w:sz="0" w:space="0" w:color="000000"/>
                <w:right w:val="none" w:sz="0" w:space="0" w:color="000000"/>
              </w:pBdr>
              <w:spacing w:before="100"/>
              <w:ind w:left="100" w:right="100"/>
              <w:jc w:val="right"/>
              <w:rPr>
                <w:rFonts w:ascii="Times New Roman" w:hAnsi="Times New Roman" w:cs="Times New Roman"/>
                <w:sz w:val="20"/>
                <w:szCs w:val="20"/>
              </w:rPr>
            </w:pPr>
            <w:r w:rsidRPr="007F00C7">
              <w:rPr>
                <w:rFonts w:ascii="Times New Roman" w:hAnsi="Times New Roman" w:cs="Times New Roman"/>
                <w:color w:val="000000"/>
                <w:sz w:val="20"/>
                <w:szCs w:val="20"/>
              </w:rPr>
              <w:t>0.31</w:t>
            </w:r>
          </w:p>
        </w:tc>
        <w:tc>
          <w:tcPr>
            <w:tcW w:w="990" w:type="dxa"/>
            <w:tcBorders>
              <w:top w:val="nil"/>
              <w:left w:val="nil"/>
              <w:bottom w:val="nil"/>
              <w:right w:val="nil"/>
            </w:tcBorders>
            <w:shd w:val="clear" w:color="auto" w:fill="FFFFFF"/>
            <w:tcMar>
              <w:top w:w="0" w:type="dxa"/>
              <w:left w:w="0" w:type="dxa"/>
              <w:bottom w:w="0" w:type="dxa"/>
              <w:right w:w="0" w:type="dxa"/>
            </w:tcMar>
          </w:tcPr>
          <w:p w14:paraId="000000B8" w14:textId="77777777" w:rsidR="001527B5" w:rsidRPr="007F00C7" w:rsidRDefault="00000000">
            <w:pPr>
              <w:pBdr>
                <w:top w:val="none" w:sz="0" w:space="0" w:color="000000"/>
                <w:left w:val="none" w:sz="0" w:space="0" w:color="000000"/>
                <w:bottom w:val="none" w:sz="0" w:space="0" w:color="000000"/>
                <w:right w:val="none" w:sz="0" w:space="0" w:color="000000"/>
              </w:pBdr>
              <w:spacing w:before="100"/>
              <w:ind w:left="100" w:right="100"/>
              <w:jc w:val="right"/>
              <w:rPr>
                <w:rFonts w:ascii="Times New Roman" w:hAnsi="Times New Roman" w:cs="Times New Roman"/>
                <w:sz w:val="20"/>
                <w:szCs w:val="20"/>
              </w:rPr>
            </w:pPr>
            <w:r w:rsidRPr="007F00C7">
              <w:rPr>
                <w:rFonts w:ascii="Times New Roman" w:hAnsi="Times New Roman" w:cs="Times New Roman"/>
                <w:color w:val="000000"/>
                <w:sz w:val="20"/>
                <w:szCs w:val="20"/>
              </w:rPr>
              <w:t>0.31</w:t>
            </w:r>
          </w:p>
        </w:tc>
        <w:tc>
          <w:tcPr>
            <w:tcW w:w="810" w:type="dxa"/>
            <w:tcBorders>
              <w:top w:val="nil"/>
              <w:left w:val="nil"/>
              <w:bottom w:val="nil"/>
              <w:right w:val="nil"/>
            </w:tcBorders>
            <w:shd w:val="clear" w:color="auto" w:fill="FFFFFF"/>
            <w:tcMar>
              <w:top w:w="0" w:type="dxa"/>
              <w:left w:w="0" w:type="dxa"/>
              <w:bottom w:w="0" w:type="dxa"/>
              <w:right w:w="0" w:type="dxa"/>
            </w:tcMar>
          </w:tcPr>
          <w:p w14:paraId="000000B9" w14:textId="77777777" w:rsidR="001527B5" w:rsidRPr="007F00C7" w:rsidRDefault="00000000">
            <w:pPr>
              <w:pBdr>
                <w:top w:val="none" w:sz="0" w:space="0" w:color="000000"/>
                <w:left w:val="none" w:sz="0" w:space="0" w:color="000000"/>
                <w:bottom w:val="none" w:sz="0" w:space="0" w:color="000000"/>
                <w:right w:val="none" w:sz="0" w:space="0" w:color="000000"/>
              </w:pBdr>
              <w:spacing w:before="100"/>
              <w:ind w:left="100" w:right="100"/>
              <w:jc w:val="right"/>
              <w:rPr>
                <w:rFonts w:ascii="Times New Roman" w:hAnsi="Times New Roman" w:cs="Times New Roman"/>
                <w:sz w:val="20"/>
                <w:szCs w:val="20"/>
              </w:rPr>
            </w:pPr>
            <w:r w:rsidRPr="007F00C7">
              <w:rPr>
                <w:rFonts w:ascii="Times New Roman" w:hAnsi="Times New Roman" w:cs="Times New Roman"/>
                <w:color w:val="000000"/>
                <w:sz w:val="20"/>
                <w:szCs w:val="20"/>
              </w:rPr>
              <w:t>0.72</w:t>
            </w:r>
          </w:p>
        </w:tc>
        <w:tc>
          <w:tcPr>
            <w:tcW w:w="900" w:type="dxa"/>
            <w:tcBorders>
              <w:top w:val="nil"/>
              <w:left w:val="nil"/>
              <w:bottom w:val="nil"/>
              <w:right w:val="nil"/>
            </w:tcBorders>
            <w:shd w:val="clear" w:color="auto" w:fill="FFFFFF"/>
            <w:tcMar>
              <w:top w:w="0" w:type="dxa"/>
              <w:left w:w="0" w:type="dxa"/>
              <w:bottom w:w="0" w:type="dxa"/>
              <w:right w:w="0" w:type="dxa"/>
            </w:tcMar>
          </w:tcPr>
          <w:p w14:paraId="000000BA" w14:textId="77777777" w:rsidR="001527B5" w:rsidRPr="007F00C7" w:rsidRDefault="00000000">
            <w:pPr>
              <w:pBdr>
                <w:top w:val="none" w:sz="0" w:space="0" w:color="000000"/>
                <w:left w:val="none" w:sz="0" w:space="0" w:color="000000"/>
                <w:bottom w:val="none" w:sz="0" w:space="0" w:color="000000"/>
                <w:right w:val="none" w:sz="0" w:space="0" w:color="000000"/>
              </w:pBdr>
              <w:spacing w:before="100"/>
              <w:ind w:left="100" w:right="100"/>
              <w:jc w:val="right"/>
              <w:rPr>
                <w:rFonts w:ascii="Times New Roman" w:hAnsi="Times New Roman" w:cs="Times New Roman"/>
                <w:sz w:val="20"/>
                <w:szCs w:val="20"/>
              </w:rPr>
            </w:pPr>
            <w:r w:rsidRPr="007F00C7">
              <w:rPr>
                <w:rFonts w:ascii="Times New Roman" w:hAnsi="Times New Roman" w:cs="Times New Roman"/>
                <w:color w:val="000000"/>
                <w:sz w:val="20"/>
                <w:szCs w:val="20"/>
              </w:rPr>
              <w:t>0.57</w:t>
            </w:r>
          </w:p>
        </w:tc>
        <w:tc>
          <w:tcPr>
            <w:tcW w:w="900" w:type="dxa"/>
            <w:tcBorders>
              <w:top w:val="nil"/>
              <w:left w:val="nil"/>
              <w:bottom w:val="nil"/>
              <w:right w:val="nil"/>
            </w:tcBorders>
            <w:shd w:val="clear" w:color="auto" w:fill="FFFFFF"/>
            <w:tcMar>
              <w:top w:w="0" w:type="dxa"/>
              <w:left w:w="0" w:type="dxa"/>
              <w:bottom w:w="0" w:type="dxa"/>
              <w:right w:w="0" w:type="dxa"/>
            </w:tcMar>
          </w:tcPr>
          <w:p w14:paraId="000000BB" w14:textId="77777777" w:rsidR="001527B5" w:rsidRPr="007F00C7" w:rsidRDefault="00000000">
            <w:pPr>
              <w:pBdr>
                <w:top w:val="none" w:sz="0" w:space="0" w:color="000000"/>
                <w:left w:val="none" w:sz="0" w:space="0" w:color="000000"/>
                <w:bottom w:val="none" w:sz="0" w:space="0" w:color="000000"/>
                <w:right w:val="none" w:sz="0" w:space="0" w:color="000000"/>
              </w:pBdr>
              <w:spacing w:before="100"/>
              <w:ind w:left="100" w:right="100"/>
              <w:jc w:val="right"/>
              <w:rPr>
                <w:rFonts w:ascii="Times New Roman" w:hAnsi="Times New Roman" w:cs="Times New Roman"/>
                <w:sz w:val="20"/>
                <w:szCs w:val="20"/>
              </w:rPr>
            </w:pPr>
            <w:r w:rsidRPr="007F00C7">
              <w:rPr>
                <w:rFonts w:ascii="Times New Roman" w:hAnsi="Times New Roman" w:cs="Times New Roman"/>
                <w:color w:val="000000"/>
                <w:sz w:val="20"/>
                <w:szCs w:val="20"/>
              </w:rPr>
              <w:t>2.83</w:t>
            </w:r>
          </w:p>
        </w:tc>
        <w:tc>
          <w:tcPr>
            <w:tcW w:w="810" w:type="dxa"/>
            <w:tcBorders>
              <w:top w:val="nil"/>
              <w:left w:val="nil"/>
              <w:bottom w:val="nil"/>
              <w:right w:val="nil"/>
            </w:tcBorders>
            <w:shd w:val="clear" w:color="auto" w:fill="FFFFFF"/>
            <w:tcMar>
              <w:top w:w="0" w:type="dxa"/>
              <w:left w:w="0" w:type="dxa"/>
              <w:bottom w:w="0" w:type="dxa"/>
              <w:right w:w="0" w:type="dxa"/>
            </w:tcMar>
          </w:tcPr>
          <w:p w14:paraId="000000BC" w14:textId="77777777" w:rsidR="001527B5" w:rsidRPr="007F00C7" w:rsidRDefault="00000000">
            <w:pPr>
              <w:pBdr>
                <w:top w:val="none" w:sz="0" w:space="0" w:color="000000"/>
                <w:left w:val="none" w:sz="0" w:space="0" w:color="000000"/>
                <w:bottom w:val="none" w:sz="0" w:space="0" w:color="000000"/>
                <w:right w:val="none" w:sz="0" w:space="0" w:color="000000"/>
              </w:pBdr>
              <w:spacing w:before="100"/>
              <w:ind w:left="100" w:right="100"/>
              <w:jc w:val="right"/>
              <w:rPr>
                <w:rFonts w:ascii="Times New Roman" w:hAnsi="Times New Roman" w:cs="Times New Roman"/>
                <w:sz w:val="20"/>
                <w:szCs w:val="20"/>
              </w:rPr>
            </w:pPr>
            <w:r w:rsidRPr="007F00C7">
              <w:rPr>
                <w:rFonts w:ascii="Times New Roman" w:hAnsi="Times New Roman" w:cs="Times New Roman"/>
                <w:color w:val="000000"/>
                <w:sz w:val="20"/>
                <w:szCs w:val="20"/>
              </w:rPr>
              <w:t>1.64</w:t>
            </w:r>
          </w:p>
        </w:tc>
        <w:tc>
          <w:tcPr>
            <w:tcW w:w="810" w:type="dxa"/>
            <w:tcBorders>
              <w:top w:val="nil"/>
              <w:left w:val="nil"/>
              <w:bottom w:val="nil"/>
              <w:right w:val="nil"/>
            </w:tcBorders>
            <w:shd w:val="clear" w:color="auto" w:fill="FFFFFF"/>
            <w:tcMar>
              <w:top w:w="0" w:type="dxa"/>
              <w:left w:w="0" w:type="dxa"/>
              <w:bottom w:w="0" w:type="dxa"/>
              <w:right w:w="0" w:type="dxa"/>
            </w:tcMar>
          </w:tcPr>
          <w:p w14:paraId="000000BD" w14:textId="77777777" w:rsidR="001527B5" w:rsidRPr="007F00C7" w:rsidRDefault="00000000">
            <w:pPr>
              <w:pBdr>
                <w:top w:val="none" w:sz="0" w:space="0" w:color="000000"/>
                <w:left w:val="none" w:sz="0" w:space="0" w:color="000000"/>
                <w:bottom w:val="none" w:sz="0" w:space="0" w:color="000000"/>
                <w:right w:val="none" w:sz="0" w:space="0" w:color="000000"/>
              </w:pBdr>
              <w:spacing w:before="100"/>
              <w:ind w:left="100" w:right="100"/>
              <w:jc w:val="right"/>
              <w:rPr>
                <w:rFonts w:ascii="Times New Roman" w:hAnsi="Times New Roman" w:cs="Times New Roman"/>
                <w:sz w:val="20"/>
                <w:szCs w:val="20"/>
              </w:rPr>
            </w:pPr>
            <w:r w:rsidRPr="007F00C7">
              <w:rPr>
                <w:rFonts w:ascii="Times New Roman" w:hAnsi="Times New Roman" w:cs="Times New Roman"/>
                <w:color w:val="000000"/>
                <w:sz w:val="20"/>
                <w:szCs w:val="20"/>
              </w:rPr>
              <w:t>3.27</w:t>
            </w:r>
          </w:p>
        </w:tc>
        <w:tc>
          <w:tcPr>
            <w:tcW w:w="989" w:type="dxa"/>
            <w:tcBorders>
              <w:top w:val="nil"/>
              <w:left w:val="nil"/>
              <w:bottom w:val="nil"/>
              <w:right w:val="nil"/>
            </w:tcBorders>
            <w:shd w:val="clear" w:color="auto" w:fill="FFFFFF"/>
            <w:tcMar>
              <w:top w:w="0" w:type="dxa"/>
              <w:left w:w="0" w:type="dxa"/>
              <w:bottom w:w="0" w:type="dxa"/>
              <w:right w:w="0" w:type="dxa"/>
            </w:tcMar>
          </w:tcPr>
          <w:p w14:paraId="000000BE" w14:textId="77777777" w:rsidR="001527B5" w:rsidRPr="007F00C7" w:rsidRDefault="00000000">
            <w:pPr>
              <w:pBdr>
                <w:top w:val="none" w:sz="0" w:space="0" w:color="000000"/>
                <w:left w:val="none" w:sz="0" w:space="0" w:color="000000"/>
                <w:bottom w:val="none" w:sz="0" w:space="0" w:color="000000"/>
                <w:right w:val="none" w:sz="0" w:space="0" w:color="000000"/>
              </w:pBdr>
              <w:spacing w:before="100"/>
              <w:ind w:left="100" w:right="100"/>
              <w:jc w:val="right"/>
              <w:rPr>
                <w:rFonts w:ascii="Times New Roman" w:hAnsi="Times New Roman" w:cs="Times New Roman"/>
                <w:sz w:val="20"/>
                <w:szCs w:val="20"/>
              </w:rPr>
            </w:pPr>
            <w:r w:rsidRPr="007F00C7">
              <w:rPr>
                <w:rFonts w:ascii="Times New Roman" w:hAnsi="Times New Roman" w:cs="Times New Roman"/>
                <w:color w:val="000000"/>
                <w:sz w:val="20"/>
                <w:szCs w:val="20"/>
              </w:rPr>
              <w:t>0.45</w:t>
            </w:r>
          </w:p>
        </w:tc>
        <w:tc>
          <w:tcPr>
            <w:tcW w:w="711" w:type="dxa"/>
            <w:tcBorders>
              <w:top w:val="nil"/>
              <w:left w:val="nil"/>
              <w:bottom w:val="nil"/>
              <w:right w:val="nil"/>
            </w:tcBorders>
            <w:shd w:val="clear" w:color="auto" w:fill="FFFFFF"/>
            <w:tcMar>
              <w:top w:w="0" w:type="dxa"/>
              <w:left w:w="0" w:type="dxa"/>
              <w:bottom w:w="0" w:type="dxa"/>
              <w:right w:w="0" w:type="dxa"/>
            </w:tcMar>
          </w:tcPr>
          <w:p w14:paraId="000000BF" w14:textId="77777777" w:rsidR="001527B5" w:rsidRPr="007F00C7" w:rsidRDefault="00000000">
            <w:pPr>
              <w:pBdr>
                <w:top w:val="none" w:sz="0" w:space="0" w:color="000000"/>
                <w:left w:val="none" w:sz="0" w:space="0" w:color="000000"/>
                <w:bottom w:val="none" w:sz="0" w:space="0" w:color="000000"/>
                <w:right w:val="none" w:sz="0" w:space="0" w:color="000000"/>
              </w:pBdr>
              <w:spacing w:before="100"/>
              <w:ind w:left="100" w:right="100"/>
              <w:jc w:val="right"/>
              <w:rPr>
                <w:rFonts w:ascii="Times New Roman" w:hAnsi="Times New Roman" w:cs="Times New Roman"/>
                <w:sz w:val="20"/>
                <w:szCs w:val="20"/>
              </w:rPr>
            </w:pPr>
            <w:r w:rsidRPr="007F00C7">
              <w:rPr>
                <w:rFonts w:ascii="Times New Roman" w:hAnsi="Times New Roman" w:cs="Times New Roman"/>
                <w:color w:val="000000"/>
                <w:sz w:val="20"/>
                <w:szCs w:val="20"/>
              </w:rPr>
              <w:t>0.31</w:t>
            </w:r>
          </w:p>
        </w:tc>
        <w:tc>
          <w:tcPr>
            <w:tcW w:w="550" w:type="dxa"/>
            <w:tcBorders>
              <w:top w:val="nil"/>
              <w:left w:val="nil"/>
              <w:bottom w:val="nil"/>
              <w:right w:val="nil"/>
            </w:tcBorders>
            <w:shd w:val="clear" w:color="auto" w:fill="FFFFFF"/>
            <w:tcMar>
              <w:top w:w="0" w:type="dxa"/>
              <w:left w:w="0" w:type="dxa"/>
              <w:bottom w:w="0" w:type="dxa"/>
              <w:right w:w="0" w:type="dxa"/>
            </w:tcMar>
          </w:tcPr>
          <w:p w14:paraId="000000C0" w14:textId="77777777" w:rsidR="001527B5" w:rsidRPr="007F00C7" w:rsidRDefault="00000000">
            <w:pPr>
              <w:pBdr>
                <w:top w:val="none" w:sz="0" w:space="0" w:color="000000"/>
                <w:left w:val="none" w:sz="0" w:space="0" w:color="000000"/>
                <w:bottom w:val="none" w:sz="0" w:space="0" w:color="000000"/>
                <w:right w:val="none" w:sz="0" w:space="0" w:color="000000"/>
              </w:pBdr>
              <w:spacing w:before="100"/>
              <w:ind w:left="100" w:right="100"/>
              <w:jc w:val="right"/>
              <w:rPr>
                <w:rFonts w:ascii="Times New Roman" w:hAnsi="Times New Roman" w:cs="Times New Roman"/>
                <w:sz w:val="20"/>
                <w:szCs w:val="20"/>
              </w:rPr>
            </w:pPr>
            <w:r w:rsidRPr="007F00C7">
              <w:rPr>
                <w:rFonts w:ascii="Times New Roman" w:hAnsi="Times New Roman" w:cs="Times New Roman"/>
                <w:color w:val="000000"/>
                <w:sz w:val="20"/>
                <w:szCs w:val="20"/>
              </w:rPr>
              <w:t>0.34</w:t>
            </w:r>
          </w:p>
        </w:tc>
      </w:tr>
      <w:tr w:rsidR="001410AD" w:rsidRPr="007F00C7" w14:paraId="1BC8EE94" w14:textId="77777777" w:rsidTr="001410AD">
        <w:trPr>
          <w:cantSplit/>
          <w:jc w:val="center"/>
        </w:trPr>
        <w:tc>
          <w:tcPr>
            <w:tcW w:w="1530" w:type="dxa"/>
            <w:tcBorders>
              <w:top w:val="nil"/>
              <w:left w:val="nil"/>
              <w:bottom w:val="nil"/>
              <w:right w:val="nil"/>
            </w:tcBorders>
            <w:shd w:val="clear" w:color="auto" w:fill="FFFFFF"/>
            <w:tcMar>
              <w:top w:w="0" w:type="dxa"/>
              <w:left w:w="0" w:type="dxa"/>
              <w:bottom w:w="0" w:type="dxa"/>
              <w:right w:w="0" w:type="dxa"/>
            </w:tcMar>
          </w:tcPr>
          <w:p w14:paraId="000000C1" w14:textId="77777777" w:rsidR="001527B5" w:rsidRPr="007F00C7" w:rsidRDefault="00000000">
            <w:pPr>
              <w:pBdr>
                <w:top w:val="none" w:sz="0" w:space="0" w:color="000000"/>
                <w:left w:val="none" w:sz="0" w:space="0" w:color="000000"/>
                <w:bottom w:val="none" w:sz="0" w:space="0" w:color="000000"/>
                <w:right w:val="none" w:sz="0" w:space="0" w:color="000000"/>
              </w:pBdr>
              <w:spacing w:before="100"/>
              <w:ind w:left="100" w:right="100"/>
              <w:rPr>
                <w:rFonts w:ascii="Times New Roman" w:hAnsi="Times New Roman" w:cs="Times New Roman"/>
                <w:sz w:val="20"/>
                <w:szCs w:val="20"/>
              </w:rPr>
            </w:pPr>
            <w:r w:rsidRPr="007F00C7">
              <w:rPr>
                <w:rFonts w:ascii="Times New Roman" w:hAnsi="Times New Roman" w:cs="Times New Roman"/>
                <w:color w:val="000000"/>
                <w:sz w:val="20"/>
                <w:szCs w:val="20"/>
              </w:rPr>
              <w:t>LMF fixed window</w:t>
            </w:r>
          </w:p>
        </w:tc>
        <w:tc>
          <w:tcPr>
            <w:tcW w:w="1062" w:type="dxa"/>
            <w:tcBorders>
              <w:top w:val="nil"/>
              <w:left w:val="nil"/>
              <w:bottom w:val="nil"/>
              <w:right w:val="nil"/>
            </w:tcBorders>
            <w:shd w:val="clear" w:color="auto" w:fill="FFFFFF"/>
            <w:tcMar>
              <w:top w:w="0" w:type="dxa"/>
              <w:left w:w="0" w:type="dxa"/>
              <w:bottom w:w="0" w:type="dxa"/>
              <w:right w:w="0" w:type="dxa"/>
            </w:tcMar>
          </w:tcPr>
          <w:p w14:paraId="000000C2" w14:textId="77777777" w:rsidR="001527B5" w:rsidRPr="007F00C7" w:rsidRDefault="00000000">
            <w:pPr>
              <w:pBdr>
                <w:top w:val="none" w:sz="0" w:space="0" w:color="000000"/>
                <w:left w:val="none" w:sz="0" w:space="0" w:color="000000"/>
                <w:bottom w:val="none" w:sz="0" w:space="0" w:color="000000"/>
                <w:right w:val="none" w:sz="0" w:space="0" w:color="000000"/>
              </w:pBdr>
              <w:spacing w:before="100"/>
              <w:ind w:left="100" w:right="100"/>
              <w:jc w:val="right"/>
              <w:rPr>
                <w:rFonts w:ascii="Times New Roman" w:hAnsi="Times New Roman" w:cs="Times New Roman"/>
                <w:sz w:val="20"/>
                <w:szCs w:val="20"/>
              </w:rPr>
            </w:pPr>
            <w:r w:rsidRPr="007F00C7">
              <w:rPr>
                <w:rFonts w:ascii="Times New Roman" w:hAnsi="Times New Roman" w:cs="Times New Roman"/>
                <w:color w:val="000000"/>
                <w:sz w:val="20"/>
                <w:szCs w:val="20"/>
              </w:rPr>
              <w:t>4,355</w:t>
            </w:r>
          </w:p>
        </w:tc>
        <w:tc>
          <w:tcPr>
            <w:tcW w:w="969" w:type="dxa"/>
            <w:tcBorders>
              <w:top w:val="nil"/>
              <w:left w:val="nil"/>
              <w:bottom w:val="nil"/>
              <w:right w:val="nil"/>
            </w:tcBorders>
            <w:shd w:val="clear" w:color="auto" w:fill="FFFFFF"/>
            <w:tcMar>
              <w:top w:w="0" w:type="dxa"/>
              <w:left w:w="0" w:type="dxa"/>
              <w:bottom w:w="0" w:type="dxa"/>
              <w:right w:w="0" w:type="dxa"/>
            </w:tcMar>
          </w:tcPr>
          <w:p w14:paraId="000000C3" w14:textId="77777777" w:rsidR="001527B5" w:rsidRPr="007F00C7" w:rsidRDefault="00000000">
            <w:pPr>
              <w:pBdr>
                <w:top w:val="none" w:sz="0" w:space="0" w:color="000000"/>
                <w:left w:val="none" w:sz="0" w:space="0" w:color="000000"/>
                <w:bottom w:val="none" w:sz="0" w:space="0" w:color="000000"/>
                <w:right w:val="none" w:sz="0" w:space="0" w:color="000000"/>
              </w:pBdr>
              <w:spacing w:before="100"/>
              <w:ind w:left="100" w:right="100"/>
              <w:jc w:val="right"/>
              <w:rPr>
                <w:rFonts w:ascii="Times New Roman" w:hAnsi="Times New Roman" w:cs="Times New Roman"/>
                <w:sz w:val="20"/>
                <w:szCs w:val="20"/>
              </w:rPr>
            </w:pPr>
            <w:r w:rsidRPr="007F00C7">
              <w:rPr>
                <w:rFonts w:ascii="Times New Roman" w:hAnsi="Times New Roman" w:cs="Times New Roman"/>
                <w:color w:val="000000"/>
                <w:sz w:val="20"/>
                <w:szCs w:val="20"/>
              </w:rPr>
              <w:t>3,738</w:t>
            </w:r>
          </w:p>
        </w:tc>
        <w:tc>
          <w:tcPr>
            <w:tcW w:w="1091" w:type="dxa"/>
            <w:tcBorders>
              <w:top w:val="nil"/>
              <w:left w:val="nil"/>
              <w:bottom w:val="nil"/>
              <w:right w:val="nil"/>
            </w:tcBorders>
            <w:shd w:val="clear" w:color="auto" w:fill="FFFFFF"/>
            <w:tcMar>
              <w:top w:w="0" w:type="dxa"/>
              <w:left w:w="0" w:type="dxa"/>
              <w:bottom w:w="0" w:type="dxa"/>
              <w:right w:w="0" w:type="dxa"/>
            </w:tcMar>
          </w:tcPr>
          <w:p w14:paraId="000000C4" w14:textId="77777777" w:rsidR="001527B5" w:rsidRPr="007F00C7" w:rsidRDefault="00000000">
            <w:pPr>
              <w:pBdr>
                <w:top w:val="none" w:sz="0" w:space="0" w:color="000000"/>
                <w:left w:val="none" w:sz="0" w:space="0" w:color="000000"/>
                <w:bottom w:val="none" w:sz="0" w:space="0" w:color="000000"/>
                <w:right w:val="none" w:sz="0" w:space="0" w:color="000000"/>
              </w:pBdr>
              <w:spacing w:before="100"/>
              <w:ind w:left="100" w:right="100"/>
              <w:jc w:val="right"/>
              <w:rPr>
                <w:rFonts w:ascii="Times New Roman" w:hAnsi="Times New Roman" w:cs="Times New Roman"/>
                <w:sz w:val="20"/>
                <w:szCs w:val="20"/>
              </w:rPr>
            </w:pPr>
            <w:r w:rsidRPr="007F00C7">
              <w:rPr>
                <w:rFonts w:ascii="Times New Roman" w:hAnsi="Times New Roman" w:cs="Times New Roman"/>
                <w:color w:val="000000"/>
                <w:sz w:val="20"/>
                <w:szCs w:val="20"/>
              </w:rPr>
              <w:t>0.86</w:t>
            </w:r>
          </w:p>
        </w:tc>
        <w:tc>
          <w:tcPr>
            <w:tcW w:w="838" w:type="dxa"/>
            <w:tcBorders>
              <w:top w:val="nil"/>
              <w:left w:val="nil"/>
              <w:bottom w:val="nil"/>
              <w:right w:val="nil"/>
            </w:tcBorders>
            <w:shd w:val="clear" w:color="auto" w:fill="FFFFFF"/>
            <w:tcMar>
              <w:top w:w="0" w:type="dxa"/>
              <w:left w:w="0" w:type="dxa"/>
              <w:bottom w:w="0" w:type="dxa"/>
              <w:right w:w="0" w:type="dxa"/>
            </w:tcMar>
          </w:tcPr>
          <w:p w14:paraId="000000C5" w14:textId="77777777" w:rsidR="001527B5" w:rsidRPr="007F00C7" w:rsidRDefault="00000000">
            <w:pPr>
              <w:pBdr>
                <w:top w:val="none" w:sz="0" w:space="0" w:color="000000"/>
                <w:left w:val="none" w:sz="0" w:space="0" w:color="000000"/>
                <w:bottom w:val="none" w:sz="0" w:space="0" w:color="000000"/>
                <w:right w:val="none" w:sz="0" w:space="0" w:color="000000"/>
              </w:pBdr>
              <w:spacing w:before="100"/>
              <w:ind w:left="100" w:right="100"/>
              <w:jc w:val="right"/>
              <w:rPr>
                <w:rFonts w:ascii="Times New Roman" w:hAnsi="Times New Roman" w:cs="Times New Roman"/>
                <w:sz w:val="20"/>
                <w:szCs w:val="20"/>
              </w:rPr>
            </w:pPr>
            <w:r w:rsidRPr="007F00C7">
              <w:rPr>
                <w:rFonts w:ascii="Times New Roman" w:hAnsi="Times New Roman" w:cs="Times New Roman"/>
                <w:color w:val="000000"/>
                <w:sz w:val="20"/>
                <w:szCs w:val="20"/>
              </w:rPr>
              <w:t>0.37</w:t>
            </w:r>
          </w:p>
        </w:tc>
        <w:tc>
          <w:tcPr>
            <w:tcW w:w="990" w:type="dxa"/>
            <w:tcBorders>
              <w:top w:val="nil"/>
              <w:left w:val="nil"/>
              <w:bottom w:val="nil"/>
              <w:right w:val="nil"/>
            </w:tcBorders>
            <w:shd w:val="clear" w:color="auto" w:fill="FFFFFF"/>
            <w:tcMar>
              <w:top w:w="0" w:type="dxa"/>
              <w:left w:w="0" w:type="dxa"/>
              <w:bottom w:w="0" w:type="dxa"/>
              <w:right w:w="0" w:type="dxa"/>
            </w:tcMar>
          </w:tcPr>
          <w:p w14:paraId="000000C6" w14:textId="77777777" w:rsidR="001527B5" w:rsidRPr="007F00C7" w:rsidRDefault="00000000">
            <w:pPr>
              <w:pBdr>
                <w:top w:val="none" w:sz="0" w:space="0" w:color="000000"/>
                <w:left w:val="none" w:sz="0" w:space="0" w:color="000000"/>
                <w:bottom w:val="none" w:sz="0" w:space="0" w:color="000000"/>
                <w:right w:val="none" w:sz="0" w:space="0" w:color="000000"/>
              </w:pBdr>
              <w:spacing w:before="100"/>
              <w:ind w:left="100" w:right="100"/>
              <w:jc w:val="right"/>
              <w:rPr>
                <w:rFonts w:ascii="Times New Roman" w:hAnsi="Times New Roman" w:cs="Times New Roman"/>
                <w:sz w:val="20"/>
                <w:szCs w:val="20"/>
              </w:rPr>
            </w:pPr>
            <w:r w:rsidRPr="007F00C7">
              <w:rPr>
                <w:rFonts w:ascii="Times New Roman" w:hAnsi="Times New Roman" w:cs="Times New Roman"/>
                <w:color w:val="000000"/>
                <w:sz w:val="20"/>
                <w:szCs w:val="20"/>
              </w:rPr>
              <w:t>0.37</w:t>
            </w:r>
          </w:p>
        </w:tc>
        <w:tc>
          <w:tcPr>
            <w:tcW w:w="810" w:type="dxa"/>
            <w:tcBorders>
              <w:top w:val="nil"/>
              <w:left w:val="nil"/>
              <w:bottom w:val="nil"/>
              <w:right w:val="nil"/>
            </w:tcBorders>
            <w:shd w:val="clear" w:color="auto" w:fill="FFFFFF"/>
            <w:tcMar>
              <w:top w:w="0" w:type="dxa"/>
              <w:left w:w="0" w:type="dxa"/>
              <w:bottom w:w="0" w:type="dxa"/>
              <w:right w:w="0" w:type="dxa"/>
            </w:tcMar>
          </w:tcPr>
          <w:p w14:paraId="000000C7" w14:textId="77777777" w:rsidR="001527B5" w:rsidRPr="007F00C7" w:rsidRDefault="00000000">
            <w:pPr>
              <w:pBdr>
                <w:top w:val="none" w:sz="0" w:space="0" w:color="000000"/>
                <w:left w:val="none" w:sz="0" w:space="0" w:color="000000"/>
                <w:bottom w:val="none" w:sz="0" w:space="0" w:color="000000"/>
                <w:right w:val="none" w:sz="0" w:space="0" w:color="000000"/>
              </w:pBdr>
              <w:spacing w:before="100"/>
              <w:ind w:left="100" w:right="100"/>
              <w:jc w:val="right"/>
              <w:rPr>
                <w:rFonts w:ascii="Times New Roman" w:hAnsi="Times New Roman" w:cs="Times New Roman"/>
                <w:sz w:val="20"/>
                <w:szCs w:val="20"/>
              </w:rPr>
            </w:pPr>
            <w:r w:rsidRPr="007F00C7">
              <w:rPr>
                <w:rFonts w:ascii="Times New Roman" w:hAnsi="Times New Roman" w:cs="Times New Roman"/>
                <w:color w:val="000000"/>
                <w:sz w:val="20"/>
                <w:szCs w:val="20"/>
              </w:rPr>
              <w:t>0.65</w:t>
            </w:r>
          </w:p>
        </w:tc>
        <w:tc>
          <w:tcPr>
            <w:tcW w:w="900" w:type="dxa"/>
            <w:tcBorders>
              <w:top w:val="nil"/>
              <w:left w:val="nil"/>
              <w:bottom w:val="nil"/>
              <w:right w:val="nil"/>
            </w:tcBorders>
            <w:shd w:val="clear" w:color="auto" w:fill="FFFFFF"/>
            <w:tcMar>
              <w:top w:w="0" w:type="dxa"/>
              <w:left w:w="0" w:type="dxa"/>
              <w:bottom w:w="0" w:type="dxa"/>
              <w:right w:w="0" w:type="dxa"/>
            </w:tcMar>
          </w:tcPr>
          <w:p w14:paraId="000000C8" w14:textId="77777777" w:rsidR="001527B5" w:rsidRPr="007F00C7" w:rsidRDefault="00000000">
            <w:pPr>
              <w:pBdr>
                <w:top w:val="none" w:sz="0" w:space="0" w:color="000000"/>
                <w:left w:val="none" w:sz="0" w:space="0" w:color="000000"/>
                <w:bottom w:val="none" w:sz="0" w:space="0" w:color="000000"/>
                <w:right w:val="none" w:sz="0" w:space="0" w:color="000000"/>
              </w:pBdr>
              <w:spacing w:before="100"/>
              <w:ind w:left="100" w:right="100"/>
              <w:jc w:val="right"/>
              <w:rPr>
                <w:rFonts w:ascii="Times New Roman" w:hAnsi="Times New Roman" w:cs="Times New Roman"/>
                <w:sz w:val="20"/>
                <w:szCs w:val="20"/>
              </w:rPr>
            </w:pPr>
            <w:r w:rsidRPr="007F00C7">
              <w:rPr>
                <w:rFonts w:ascii="Times New Roman" w:hAnsi="Times New Roman" w:cs="Times New Roman"/>
                <w:color w:val="000000"/>
                <w:sz w:val="20"/>
                <w:szCs w:val="20"/>
              </w:rPr>
              <w:t>0.61</w:t>
            </w:r>
          </w:p>
        </w:tc>
        <w:tc>
          <w:tcPr>
            <w:tcW w:w="900" w:type="dxa"/>
            <w:tcBorders>
              <w:top w:val="nil"/>
              <w:left w:val="nil"/>
              <w:bottom w:val="nil"/>
              <w:right w:val="nil"/>
            </w:tcBorders>
            <w:shd w:val="clear" w:color="auto" w:fill="FFFFFF"/>
            <w:tcMar>
              <w:top w:w="0" w:type="dxa"/>
              <w:left w:w="0" w:type="dxa"/>
              <w:bottom w:w="0" w:type="dxa"/>
              <w:right w:w="0" w:type="dxa"/>
            </w:tcMar>
          </w:tcPr>
          <w:p w14:paraId="000000C9" w14:textId="77777777" w:rsidR="001527B5" w:rsidRPr="007F00C7" w:rsidRDefault="00000000">
            <w:pPr>
              <w:pBdr>
                <w:top w:val="none" w:sz="0" w:space="0" w:color="000000"/>
                <w:left w:val="none" w:sz="0" w:space="0" w:color="000000"/>
                <w:bottom w:val="none" w:sz="0" w:space="0" w:color="000000"/>
                <w:right w:val="none" w:sz="0" w:space="0" w:color="000000"/>
              </w:pBdr>
              <w:spacing w:before="100"/>
              <w:ind w:left="100" w:right="100"/>
              <w:jc w:val="right"/>
              <w:rPr>
                <w:rFonts w:ascii="Times New Roman" w:hAnsi="Times New Roman" w:cs="Times New Roman"/>
                <w:sz w:val="20"/>
                <w:szCs w:val="20"/>
              </w:rPr>
            </w:pPr>
            <w:r w:rsidRPr="007F00C7">
              <w:rPr>
                <w:rFonts w:ascii="Times New Roman" w:hAnsi="Times New Roman" w:cs="Times New Roman"/>
                <w:color w:val="000000"/>
                <w:sz w:val="20"/>
                <w:szCs w:val="20"/>
              </w:rPr>
              <w:t>2.69</w:t>
            </w:r>
          </w:p>
        </w:tc>
        <w:tc>
          <w:tcPr>
            <w:tcW w:w="810" w:type="dxa"/>
            <w:tcBorders>
              <w:top w:val="nil"/>
              <w:left w:val="nil"/>
              <w:bottom w:val="nil"/>
              <w:right w:val="nil"/>
            </w:tcBorders>
            <w:shd w:val="clear" w:color="auto" w:fill="FFFFFF"/>
            <w:tcMar>
              <w:top w:w="0" w:type="dxa"/>
              <w:left w:w="0" w:type="dxa"/>
              <w:bottom w:w="0" w:type="dxa"/>
              <w:right w:w="0" w:type="dxa"/>
            </w:tcMar>
          </w:tcPr>
          <w:p w14:paraId="000000CA" w14:textId="77777777" w:rsidR="001527B5" w:rsidRPr="007F00C7" w:rsidRDefault="00000000">
            <w:pPr>
              <w:pBdr>
                <w:top w:val="none" w:sz="0" w:space="0" w:color="000000"/>
                <w:left w:val="none" w:sz="0" w:space="0" w:color="000000"/>
                <w:bottom w:val="none" w:sz="0" w:space="0" w:color="000000"/>
                <w:right w:val="none" w:sz="0" w:space="0" w:color="000000"/>
              </w:pBdr>
              <w:spacing w:before="100"/>
              <w:ind w:left="100" w:right="100"/>
              <w:jc w:val="right"/>
              <w:rPr>
                <w:rFonts w:ascii="Times New Roman" w:hAnsi="Times New Roman" w:cs="Times New Roman"/>
                <w:sz w:val="20"/>
                <w:szCs w:val="20"/>
              </w:rPr>
            </w:pPr>
            <w:r w:rsidRPr="007F00C7">
              <w:rPr>
                <w:rFonts w:ascii="Times New Roman" w:hAnsi="Times New Roman" w:cs="Times New Roman"/>
                <w:color w:val="000000"/>
                <w:sz w:val="20"/>
                <w:szCs w:val="20"/>
              </w:rPr>
              <w:t>1.62</w:t>
            </w:r>
          </w:p>
        </w:tc>
        <w:tc>
          <w:tcPr>
            <w:tcW w:w="810" w:type="dxa"/>
            <w:tcBorders>
              <w:top w:val="nil"/>
              <w:left w:val="nil"/>
              <w:bottom w:val="nil"/>
              <w:right w:val="nil"/>
            </w:tcBorders>
            <w:shd w:val="clear" w:color="auto" w:fill="FFFFFF"/>
            <w:tcMar>
              <w:top w:w="0" w:type="dxa"/>
              <w:left w:w="0" w:type="dxa"/>
              <w:bottom w:w="0" w:type="dxa"/>
              <w:right w:w="0" w:type="dxa"/>
            </w:tcMar>
          </w:tcPr>
          <w:p w14:paraId="000000CB" w14:textId="77777777" w:rsidR="001527B5" w:rsidRPr="007F00C7" w:rsidRDefault="00000000">
            <w:pPr>
              <w:pBdr>
                <w:top w:val="none" w:sz="0" w:space="0" w:color="000000"/>
                <w:left w:val="none" w:sz="0" w:space="0" w:color="000000"/>
                <w:bottom w:val="none" w:sz="0" w:space="0" w:color="000000"/>
                <w:right w:val="none" w:sz="0" w:space="0" w:color="000000"/>
              </w:pBdr>
              <w:spacing w:before="100"/>
              <w:ind w:left="100" w:right="100"/>
              <w:jc w:val="right"/>
              <w:rPr>
                <w:rFonts w:ascii="Times New Roman" w:hAnsi="Times New Roman" w:cs="Times New Roman"/>
                <w:sz w:val="20"/>
                <w:szCs w:val="20"/>
              </w:rPr>
            </w:pPr>
            <w:r w:rsidRPr="007F00C7">
              <w:rPr>
                <w:rFonts w:ascii="Times New Roman" w:hAnsi="Times New Roman" w:cs="Times New Roman"/>
                <w:color w:val="000000"/>
                <w:sz w:val="20"/>
                <w:szCs w:val="20"/>
              </w:rPr>
              <w:t>3.14</w:t>
            </w:r>
          </w:p>
        </w:tc>
        <w:tc>
          <w:tcPr>
            <w:tcW w:w="989" w:type="dxa"/>
            <w:tcBorders>
              <w:top w:val="nil"/>
              <w:left w:val="nil"/>
              <w:bottom w:val="nil"/>
              <w:right w:val="nil"/>
            </w:tcBorders>
            <w:shd w:val="clear" w:color="auto" w:fill="FFFFFF"/>
            <w:tcMar>
              <w:top w:w="0" w:type="dxa"/>
              <w:left w:w="0" w:type="dxa"/>
              <w:bottom w:w="0" w:type="dxa"/>
              <w:right w:w="0" w:type="dxa"/>
            </w:tcMar>
          </w:tcPr>
          <w:p w14:paraId="000000CC" w14:textId="77777777" w:rsidR="001527B5" w:rsidRPr="007F00C7" w:rsidRDefault="00000000">
            <w:pPr>
              <w:pBdr>
                <w:top w:val="none" w:sz="0" w:space="0" w:color="000000"/>
                <w:left w:val="none" w:sz="0" w:space="0" w:color="000000"/>
                <w:bottom w:val="none" w:sz="0" w:space="0" w:color="000000"/>
                <w:right w:val="none" w:sz="0" w:space="0" w:color="000000"/>
              </w:pBdr>
              <w:spacing w:before="100"/>
              <w:ind w:left="100" w:right="100"/>
              <w:jc w:val="right"/>
              <w:rPr>
                <w:rFonts w:ascii="Times New Roman" w:hAnsi="Times New Roman" w:cs="Times New Roman"/>
                <w:sz w:val="20"/>
                <w:szCs w:val="20"/>
              </w:rPr>
            </w:pPr>
            <w:r w:rsidRPr="007F00C7">
              <w:rPr>
                <w:rFonts w:ascii="Times New Roman" w:hAnsi="Times New Roman" w:cs="Times New Roman"/>
                <w:color w:val="000000"/>
                <w:sz w:val="20"/>
                <w:szCs w:val="20"/>
              </w:rPr>
              <w:t>0.41</w:t>
            </w:r>
          </w:p>
        </w:tc>
        <w:tc>
          <w:tcPr>
            <w:tcW w:w="711" w:type="dxa"/>
            <w:tcBorders>
              <w:top w:val="nil"/>
              <w:left w:val="nil"/>
              <w:bottom w:val="nil"/>
              <w:right w:val="nil"/>
            </w:tcBorders>
            <w:shd w:val="clear" w:color="auto" w:fill="FFFFFF"/>
            <w:tcMar>
              <w:top w:w="0" w:type="dxa"/>
              <w:left w:w="0" w:type="dxa"/>
              <w:bottom w:w="0" w:type="dxa"/>
              <w:right w:w="0" w:type="dxa"/>
            </w:tcMar>
          </w:tcPr>
          <w:p w14:paraId="000000CD" w14:textId="77777777" w:rsidR="001527B5" w:rsidRPr="007F00C7" w:rsidRDefault="00000000">
            <w:pPr>
              <w:pBdr>
                <w:top w:val="none" w:sz="0" w:space="0" w:color="000000"/>
                <w:left w:val="none" w:sz="0" w:space="0" w:color="000000"/>
                <w:bottom w:val="none" w:sz="0" w:space="0" w:color="000000"/>
                <w:right w:val="none" w:sz="0" w:space="0" w:color="000000"/>
              </w:pBdr>
              <w:spacing w:before="100"/>
              <w:ind w:left="100" w:right="100"/>
              <w:jc w:val="right"/>
              <w:rPr>
                <w:rFonts w:ascii="Times New Roman" w:hAnsi="Times New Roman" w:cs="Times New Roman"/>
                <w:sz w:val="20"/>
                <w:szCs w:val="20"/>
              </w:rPr>
            </w:pPr>
            <w:r w:rsidRPr="007F00C7">
              <w:rPr>
                <w:rFonts w:ascii="Times New Roman" w:hAnsi="Times New Roman" w:cs="Times New Roman"/>
                <w:color w:val="000000"/>
                <w:sz w:val="20"/>
                <w:szCs w:val="20"/>
              </w:rPr>
              <w:t>0.37</w:t>
            </w:r>
          </w:p>
        </w:tc>
        <w:tc>
          <w:tcPr>
            <w:tcW w:w="550" w:type="dxa"/>
            <w:tcBorders>
              <w:top w:val="nil"/>
              <w:left w:val="nil"/>
              <w:bottom w:val="nil"/>
              <w:right w:val="nil"/>
            </w:tcBorders>
            <w:shd w:val="clear" w:color="auto" w:fill="FFFFFF"/>
            <w:tcMar>
              <w:top w:w="0" w:type="dxa"/>
              <w:left w:w="0" w:type="dxa"/>
              <w:bottom w:w="0" w:type="dxa"/>
              <w:right w:w="0" w:type="dxa"/>
            </w:tcMar>
          </w:tcPr>
          <w:p w14:paraId="000000CE" w14:textId="77777777" w:rsidR="001527B5" w:rsidRPr="007F00C7" w:rsidRDefault="00000000">
            <w:pPr>
              <w:pBdr>
                <w:top w:val="none" w:sz="0" w:space="0" w:color="000000"/>
                <w:left w:val="none" w:sz="0" w:space="0" w:color="000000"/>
                <w:bottom w:val="none" w:sz="0" w:space="0" w:color="000000"/>
                <w:right w:val="none" w:sz="0" w:space="0" w:color="000000"/>
              </w:pBdr>
              <w:spacing w:before="100"/>
              <w:ind w:left="100" w:right="100"/>
              <w:jc w:val="right"/>
              <w:rPr>
                <w:rFonts w:ascii="Times New Roman" w:hAnsi="Times New Roman" w:cs="Times New Roman"/>
                <w:sz w:val="20"/>
                <w:szCs w:val="20"/>
              </w:rPr>
            </w:pPr>
            <w:r w:rsidRPr="007F00C7">
              <w:rPr>
                <w:rFonts w:ascii="Times New Roman" w:hAnsi="Times New Roman" w:cs="Times New Roman"/>
                <w:color w:val="000000"/>
                <w:sz w:val="20"/>
                <w:szCs w:val="20"/>
              </w:rPr>
              <w:t>0.37</w:t>
            </w:r>
          </w:p>
        </w:tc>
      </w:tr>
      <w:tr w:rsidR="001410AD" w:rsidRPr="007F00C7" w14:paraId="06755DFD" w14:textId="77777777" w:rsidTr="001410AD">
        <w:trPr>
          <w:cantSplit/>
          <w:jc w:val="center"/>
        </w:trPr>
        <w:tc>
          <w:tcPr>
            <w:tcW w:w="1530" w:type="dxa"/>
            <w:tcBorders>
              <w:top w:val="nil"/>
              <w:left w:val="nil"/>
              <w:bottom w:val="nil"/>
              <w:right w:val="nil"/>
            </w:tcBorders>
            <w:shd w:val="clear" w:color="auto" w:fill="FFFFFF"/>
            <w:tcMar>
              <w:top w:w="0" w:type="dxa"/>
              <w:left w:w="0" w:type="dxa"/>
              <w:bottom w:w="0" w:type="dxa"/>
              <w:right w:w="0" w:type="dxa"/>
            </w:tcMar>
          </w:tcPr>
          <w:p w14:paraId="000000CF" w14:textId="77777777" w:rsidR="001527B5" w:rsidRPr="007F00C7" w:rsidRDefault="00000000">
            <w:pPr>
              <w:pBdr>
                <w:top w:val="none" w:sz="0" w:space="0" w:color="000000"/>
                <w:left w:val="none" w:sz="0" w:space="0" w:color="000000"/>
                <w:bottom w:val="none" w:sz="0" w:space="0" w:color="000000"/>
                <w:right w:val="none" w:sz="0" w:space="0" w:color="000000"/>
              </w:pBdr>
              <w:spacing w:before="100"/>
              <w:ind w:left="100" w:right="100"/>
              <w:rPr>
                <w:rFonts w:ascii="Times New Roman" w:hAnsi="Times New Roman" w:cs="Times New Roman"/>
                <w:sz w:val="20"/>
                <w:szCs w:val="20"/>
              </w:rPr>
            </w:pPr>
            <w:r w:rsidRPr="007F00C7">
              <w:rPr>
                <w:rFonts w:ascii="Times New Roman" w:hAnsi="Times New Roman" w:cs="Times New Roman"/>
                <w:color w:val="000000"/>
                <w:sz w:val="20"/>
                <w:szCs w:val="20"/>
              </w:rPr>
              <w:t>LMF variable window</w:t>
            </w:r>
          </w:p>
        </w:tc>
        <w:tc>
          <w:tcPr>
            <w:tcW w:w="1062" w:type="dxa"/>
            <w:tcBorders>
              <w:top w:val="nil"/>
              <w:left w:val="nil"/>
              <w:bottom w:val="nil"/>
              <w:right w:val="nil"/>
            </w:tcBorders>
            <w:shd w:val="clear" w:color="auto" w:fill="FFFFFF"/>
            <w:tcMar>
              <w:top w:w="0" w:type="dxa"/>
              <w:left w:w="0" w:type="dxa"/>
              <w:bottom w:w="0" w:type="dxa"/>
              <w:right w:w="0" w:type="dxa"/>
            </w:tcMar>
          </w:tcPr>
          <w:p w14:paraId="000000D0" w14:textId="77777777" w:rsidR="001527B5" w:rsidRPr="007F00C7" w:rsidRDefault="00000000">
            <w:pPr>
              <w:pBdr>
                <w:top w:val="none" w:sz="0" w:space="0" w:color="000000"/>
                <w:left w:val="none" w:sz="0" w:space="0" w:color="000000"/>
                <w:bottom w:val="none" w:sz="0" w:space="0" w:color="000000"/>
                <w:right w:val="none" w:sz="0" w:space="0" w:color="000000"/>
              </w:pBdr>
              <w:spacing w:before="100"/>
              <w:ind w:left="100" w:right="100"/>
              <w:jc w:val="right"/>
              <w:rPr>
                <w:rFonts w:ascii="Times New Roman" w:hAnsi="Times New Roman" w:cs="Times New Roman"/>
                <w:sz w:val="20"/>
                <w:szCs w:val="20"/>
              </w:rPr>
            </w:pPr>
            <w:r w:rsidRPr="007F00C7">
              <w:rPr>
                <w:rFonts w:ascii="Times New Roman" w:hAnsi="Times New Roman" w:cs="Times New Roman"/>
                <w:color w:val="000000"/>
                <w:sz w:val="20"/>
                <w:szCs w:val="20"/>
              </w:rPr>
              <w:t>4,355</w:t>
            </w:r>
          </w:p>
        </w:tc>
        <w:tc>
          <w:tcPr>
            <w:tcW w:w="969" w:type="dxa"/>
            <w:tcBorders>
              <w:top w:val="nil"/>
              <w:left w:val="nil"/>
              <w:bottom w:val="nil"/>
              <w:right w:val="nil"/>
            </w:tcBorders>
            <w:shd w:val="clear" w:color="auto" w:fill="FFFFFF"/>
            <w:tcMar>
              <w:top w:w="0" w:type="dxa"/>
              <w:left w:w="0" w:type="dxa"/>
              <w:bottom w:w="0" w:type="dxa"/>
              <w:right w:w="0" w:type="dxa"/>
            </w:tcMar>
          </w:tcPr>
          <w:p w14:paraId="000000D1" w14:textId="77777777" w:rsidR="001527B5" w:rsidRPr="007F00C7" w:rsidRDefault="00000000">
            <w:pPr>
              <w:pBdr>
                <w:top w:val="none" w:sz="0" w:space="0" w:color="000000"/>
                <w:left w:val="none" w:sz="0" w:space="0" w:color="000000"/>
                <w:bottom w:val="none" w:sz="0" w:space="0" w:color="000000"/>
                <w:right w:val="none" w:sz="0" w:space="0" w:color="000000"/>
              </w:pBdr>
              <w:spacing w:before="100"/>
              <w:ind w:left="100" w:right="100"/>
              <w:jc w:val="right"/>
              <w:rPr>
                <w:rFonts w:ascii="Times New Roman" w:hAnsi="Times New Roman" w:cs="Times New Roman"/>
                <w:sz w:val="20"/>
                <w:szCs w:val="20"/>
              </w:rPr>
            </w:pPr>
            <w:r w:rsidRPr="007F00C7">
              <w:rPr>
                <w:rFonts w:ascii="Times New Roman" w:hAnsi="Times New Roman" w:cs="Times New Roman"/>
                <w:color w:val="000000"/>
                <w:sz w:val="20"/>
                <w:szCs w:val="20"/>
              </w:rPr>
              <w:t>9,861</w:t>
            </w:r>
          </w:p>
        </w:tc>
        <w:tc>
          <w:tcPr>
            <w:tcW w:w="1091" w:type="dxa"/>
            <w:tcBorders>
              <w:top w:val="nil"/>
              <w:left w:val="nil"/>
              <w:bottom w:val="nil"/>
              <w:right w:val="nil"/>
            </w:tcBorders>
            <w:shd w:val="clear" w:color="auto" w:fill="FFFFFF"/>
            <w:tcMar>
              <w:top w:w="0" w:type="dxa"/>
              <w:left w:w="0" w:type="dxa"/>
              <w:bottom w:w="0" w:type="dxa"/>
              <w:right w:w="0" w:type="dxa"/>
            </w:tcMar>
          </w:tcPr>
          <w:p w14:paraId="000000D2" w14:textId="77777777" w:rsidR="001527B5" w:rsidRPr="007F00C7" w:rsidRDefault="00000000">
            <w:pPr>
              <w:pBdr>
                <w:top w:val="none" w:sz="0" w:space="0" w:color="000000"/>
                <w:left w:val="none" w:sz="0" w:space="0" w:color="000000"/>
                <w:bottom w:val="none" w:sz="0" w:space="0" w:color="000000"/>
                <w:right w:val="none" w:sz="0" w:space="0" w:color="000000"/>
              </w:pBdr>
              <w:spacing w:before="100"/>
              <w:ind w:left="100" w:right="100"/>
              <w:jc w:val="right"/>
              <w:rPr>
                <w:rFonts w:ascii="Times New Roman" w:hAnsi="Times New Roman" w:cs="Times New Roman"/>
                <w:sz w:val="20"/>
                <w:szCs w:val="20"/>
              </w:rPr>
            </w:pPr>
            <w:r w:rsidRPr="007F00C7">
              <w:rPr>
                <w:rFonts w:ascii="Times New Roman" w:hAnsi="Times New Roman" w:cs="Times New Roman"/>
                <w:color w:val="000000"/>
                <w:sz w:val="20"/>
                <w:szCs w:val="20"/>
              </w:rPr>
              <w:t>2.26</w:t>
            </w:r>
          </w:p>
        </w:tc>
        <w:tc>
          <w:tcPr>
            <w:tcW w:w="838" w:type="dxa"/>
            <w:tcBorders>
              <w:top w:val="nil"/>
              <w:left w:val="nil"/>
              <w:bottom w:val="nil"/>
              <w:right w:val="nil"/>
            </w:tcBorders>
            <w:shd w:val="clear" w:color="auto" w:fill="FFFFFF"/>
            <w:tcMar>
              <w:top w:w="0" w:type="dxa"/>
              <w:left w:w="0" w:type="dxa"/>
              <w:bottom w:w="0" w:type="dxa"/>
              <w:right w:w="0" w:type="dxa"/>
            </w:tcMar>
          </w:tcPr>
          <w:p w14:paraId="000000D3" w14:textId="77777777" w:rsidR="001527B5" w:rsidRPr="007F00C7" w:rsidRDefault="00000000">
            <w:pPr>
              <w:pBdr>
                <w:top w:val="none" w:sz="0" w:space="0" w:color="000000"/>
                <w:left w:val="none" w:sz="0" w:space="0" w:color="000000"/>
                <w:bottom w:val="none" w:sz="0" w:space="0" w:color="000000"/>
                <w:right w:val="none" w:sz="0" w:space="0" w:color="000000"/>
              </w:pBdr>
              <w:spacing w:before="100"/>
              <w:ind w:left="100" w:right="100"/>
              <w:jc w:val="right"/>
              <w:rPr>
                <w:rFonts w:ascii="Times New Roman" w:hAnsi="Times New Roman" w:cs="Times New Roman"/>
                <w:sz w:val="20"/>
                <w:szCs w:val="20"/>
              </w:rPr>
            </w:pPr>
            <w:r w:rsidRPr="007F00C7">
              <w:rPr>
                <w:rFonts w:ascii="Times New Roman" w:hAnsi="Times New Roman" w:cs="Times New Roman"/>
                <w:color w:val="000000"/>
                <w:sz w:val="20"/>
                <w:szCs w:val="20"/>
              </w:rPr>
              <w:t>0.54</w:t>
            </w:r>
          </w:p>
        </w:tc>
        <w:tc>
          <w:tcPr>
            <w:tcW w:w="990" w:type="dxa"/>
            <w:tcBorders>
              <w:top w:val="nil"/>
              <w:left w:val="nil"/>
              <w:bottom w:val="nil"/>
              <w:right w:val="nil"/>
            </w:tcBorders>
            <w:shd w:val="clear" w:color="auto" w:fill="FFFFFF"/>
            <w:tcMar>
              <w:top w:w="0" w:type="dxa"/>
              <w:left w:w="0" w:type="dxa"/>
              <w:bottom w:w="0" w:type="dxa"/>
              <w:right w:w="0" w:type="dxa"/>
            </w:tcMar>
          </w:tcPr>
          <w:p w14:paraId="000000D4" w14:textId="77777777" w:rsidR="001527B5" w:rsidRPr="007F00C7" w:rsidRDefault="00000000">
            <w:pPr>
              <w:pBdr>
                <w:top w:val="none" w:sz="0" w:space="0" w:color="000000"/>
                <w:left w:val="none" w:sz="0" w:space="0" w:color="000000"/>
                <w:bottom w:val="none" w:sz="0" w:space="0" w:color="000000"/>
                <w:right w:val="none" w:sz="0" w:space="0" w:color="000000"/>
              </w:pBdr>
              <w:spacing w:before="100"/>
              <w:ind w:left="100" w:right="100"/>
              <w:jc w:val="right"/>
              <w:rPr>
                <w:rFonts w:ascii="Times New Roman" w:hAnsi="Times New Roman" w:cs="Times New Roman"/>
                <w:sz w:val="20"/>
                <w:szCs w:val="20"/>
              </w:rPr>
            </w:pPr>
            <w:r w:rsidRPr="007F00C7">
              <w:rPr>
                <w:rFonts w:ascii="Times New Roman" w:hAnsi="Times New Roman" w:cs="Times New Roman"/>
                <w:color w:val="000000"/>
                <w:sz w:val="20"/>
                <w:szCs w:val="20"/>
              </w:rPr>
              <w:t>0.54</w:t>
            </w:r>
          </w:p>
        </w:tc>
        <w:tc>
          <w:tcPr>
            <w:tcW w:w="810" w:type="dxa"/>
            <w:tcBorders>
              <w:top w:val="nil"/>
              <w:left w:val="nil"/>
              <w:bottom w:val="nil"/>
              <w:right w:val="nil"/>
            </w:tcBorders>
            <w:shd w:val="clear" w:color="auto" w:fill="FFFFFF"/>
            <w:tcMar>
              <w:top w:w="0" w:type="dxa"/>
              <w:left w:w="0" w:type="dxa"/>
              <w:bottom w:w="0" w:type="dxa"/>
              <w:right w:w="0" w:type="dxa"/>
            </w:tcMar>
          </w:tcPr>
          <w:p w14:paraId="000000D5" w14:textId="77777777" w:rsidR="001527B5" w:rsidRPr="007F00C7" w:rsidRDefault="00000000">
            <w:pPr>
              <w:pBdr>
                <w:top w:val="none" w:sz="0" w:space="0" w:color="000000"/>
                <w:left w:val="none" w:sz="0" w:space="0" w:color="000000"/>
                <w:bottom w:val="none" w:sz="0" w:space="0" w:color="000000"/>
                <w:right w:val="none" w:sz="0" w:space="0" w:color="000000"/>
              </w:pBdr>
              <w:spacing w:before="100"/>
              <w:ind w:left="100" w:right="100"/>
              <w:jc w:val="right"/>
              <w:rPr>
                <w:rFonts w:ascii="Times New Roman" w:hAnsi="Times New Roman" w:cs="Times New Roman"/>
                <w:sz w:val="20"/>
                <w:szCs w:val="20"/>
              </w:rPr>
            </w:pPr>
            <w:r w:rsidRPr="007F00C7">
              <w:rPr>
                <w:rFonts w:ascii="Times New Roman" w:hAnsi="Times New Roman" w:cs="Times New Roman"/>
                <w:color w:val="000000"/>
                <w:sz w:val="20"/>
                <w:szCs w:val="20"/>
              </w:rPr>
              <w:t>0.47</w:t>
            </w:r>
          </w:p>
        </w:tc>
        <w:tc>
          <w:tcPr>
            <w:tcW w:w="900" w:type="dxa"/>
            <w:tcBorders>
              <w:top w:val="nil"/>
              <w:left w:val="nil"/>
              <w:bottom w:val="nil"/>
              <w:right w:val="nil"/>
            </w:tcBorders>
            <w:shd w:val="clear" w:color="auto" w:fill="FFFFFF"/>
            <w:tcMar>
              <w:top w:w="0" w:type="dxa"/>
              <w:left w:w="0" w:type="dxa"/>
              <w:bottom w:w="0" w:type="dxa"/>
              <w:right w:w="0" w:type="dxa"/>
            </w:tcMar>
          </w:tcPr>
          <w:p w14:paraId="000000D6" w14:textId="77777777" w:rsidR="001527B5" w:rsidRPr="007F00C7" w:rsidRDefault="00000000">
            <w:pPr>
              <w:pBdr>
                <w:top w:val="none" w:sz="0" w:space="0" w:color="000000"/>
                <w:left w:val="none" w:sz="0" w:space="0" w:color="000000"/>
                <w:bottom w:val="none" w:sz="0" w:space="0" w:color="000000"/>
                <w:right w:val="none" w:sz="0" w:space="0" w:color="000000"/>
              </w:pBdr>
              <w:spacing w:before="100"/>
              <w:ind w:left="100" w:right="100"/>
              <w:jc w:val="right"/>
              <w:rPr>
                <w:rFonts w:ascii="Times New Roman" w:hAnsi="Times New Roman" w:cs="Times New Roman"/>
                <w:sz w:val="20"/>
                <w:szCs w:val="20"/>
              </w:rPr>
            </w:pPr>
            <w:r w:rsidRPr="007F00C7">
              <w:rPr>
                <w:rFonts w:ascii="Times New Roman" w:hAnsi="Times New Roman" w:cs="Times New Roman"/>
                <w:color w:val="000000"/>
                <w:sz w:val="20"/>
                <w:szCs w:val="20"/>
              </w:rPr>
              <w:t>0.75</w:t>
            </w:r>
          </w:p>
        </w:tc>
        <w:tc>
          <w:tcPr>
            <w:tcW w:w="900" w:type="dxa"/>
            <w:tcBorders>
              <w:top w:val="nil"/>
              <w:left w:val="nil"/>
              <w:bottom w:val="nil"/>
              <w:right w:val="nil"/>
            </w:tcBorders>
            <w:shd w:val="clear" w:color="auto" w:fill="FFFFFF"/>
            <w:tcMar>
              <w:top w:w="0" w:type="dxa"/>
              <w:left w:w="0" w:type="dxa"/>
              <w:bottom w:w="0" w:type="dxa"/>
              <w:right w:w="0" w:type="dxa"/>
            </w:tcMar>
          </w:tcPr>
          <w:p w14:paraId="000000D7" w14:textId="77777777" w:rsidR="001527B5" w:rsidRPr="007F00C7" w:rsidRDefault="00000000">
            <w:pPr>
              <w:pBdr>
                <w:top w:val="none" w:sz="0" w:space="0" w:color="000000"/>
                <w:left w:val="none" w:sz="0" w:space="0" w:color="000000"/>
                <w:bottom w:val="none" w:sz="0" w:space="0" w:color="000000"/>
                <w:right w:val="none" w:sz="0" w:space="0" w:color="000000"/>
              </w:pBdr>
              <w:spacing w:before="100"/>
              <w:ind w:left="100" w:right="100"/>
              <w:jc w:val="right"/>
              <w:rPr>
                <w:rFonts w:ascii="Times New Roman" w:hAnsi="Times New Roman" w:cs="Times New Roman"/>
                <w:sz w:val="20"/>
                <w:szCs w:val="20"/>
              </w:rPr>
            </w:pPr>
            <w:r w:rsidRPr="007F00C7">
              <w:rPr>
                <w:rFonts w:ascii="Times New Roman" w:hAnsi="Times New Roman" w:cs="Times New Roman"/>
                <w:color w:val="000000"/>
                <w:sz w:val="20"/>
                <w:szCs w:val="20"/>
              </w:rPr>
              <w:t>2.38</w:t>
            </w:r>
          </w:p>
        </w:tc>
        <w:tc>
          <w:tcPr>
            <w:tcW w:w="810" w:type="dxa"/>
            <w:tcBorders>
              <w:top w:val="nil"/>
              <w:left w:val="nil"/>
              <w:bottom w:val="nil"/>
              <w:right w:val="nil"/>
            </w:tcBorders>
            <w:shd w:val="clear" w:color="auto" w:fill="FFFFFF"/>
            <w:tcMar>
              <w:top w:w="0" w:type="dxa"/>
              <w:left w:w="0" w:type="dxa"/>
              <w:bottom w:w="0" w:type="dxa"/>
              <w:right w:w="0" w:type="dxa"/>
            </w:tcMar>
          </w:tcPr>
          <w:p w14:paraId="000000D8" w14:textId="77777777" w:rsidR="001527B5" w:rsidRPr="007F00C7" w:rsidRDefault="00000000">
            <w:pPr>
              <w:pBdr>
                <w:top w:val="none" w:sz="0" w:space="0" w:color="000000"/>
                <w:left w:val="none" w:sz="0" w:space="0" w:color="000000"/>
                <w:bottom w:val="none" w:sz="0" w:space="0" w:color="000000"/>
                <w:right w:val="none" w:sz="0" w:space="0" w:color="000000"/>
              </w:pBdr>
              <w:spacing w:before="100"/>
              <w:ind w:left="100" w:right="100"/>
              <w:jc w:val="right"/>
              <w:rPr>
                <w:rFonts w:ascii="Times New Roman" w:hAnsi="Times New Roman" w:cs="Times New Roman"/>
                <w:sz w:val="20"/>
                <w:szCs w:val="20"/>
              </w:rPr>
            </w:pPr>
            <w:r w:rsidRPr="007F00C7">
              <w:rPr>
                <w:rFonts w:ascii="Times New Roman" w:hAnsi="Times New Roman" w:cs="Times New Roman"/>
                <w:color w:val="000000"/>
                <w:sz w:val="20"/>
                <w:szCs w:val="20"/>
              </w:rPr>
              <w:t>1.32</w:t>
            </w:r>
          </w:p>
        </w:tc>
        <w:tc>
          <w:tcPr>
            <w:tcW w:w="810" w:type="dxa"/>
            <w:tcBorders>
              <w:top w:val="nil"/>
              <w:left w:val="nil"/>
              <w:bottom w:val="nil"/>
              <w:right w:val="nil"/>
            </w:tcBorders>
            <w:shd w:val="clear" w:color="auto" w:fill="FFFFFF"/>
            <w:tcMar>
              <w:top w:w="0" w:type="dxa"/>
              <w:left w:w="0" w:type="dxa"/>
              <w:bottom w:w="0" w:type="dxa"/>
              <w:right w:w="0" w:type="dxa"/>
            </w:tcMar>
          </w:tcPr>
          <w:p w14:paraId="000000D9" w14:textId="77777777" w:rsidR="001527B5" w:rsidRPr="007F00C7" w:rsidRDefault="00000000">
            <w:pPr>
              <w:pBdr>
                <w:top w:val="none" w:sz="0" w:space="0" w:color="000000"/>
                <w:left w:val="none" w:sz="0" w:space="0" w:color="000000"/>
                <w:bottom w:val="none" w:sz="0" w:space="0" w:color="000000"/>
                <w:right w:val="none" w:sz="0" w:space="0" w:color="000000"/>
              </w:pBdr>
              <w:spacing w:before="100"/>
              <w:ind w:left="100" w:right="100"/>
              <w:jc w:val="right"/>
              <w:rPr>
                <w:rFonts w:ascii="Times New Roman" w:hAnsi="Times New Roman" w:cs="Times New Roman"/>
                <w:sz w:val="20"/>
                <w:szCs w:val="20"/>
              </w:rPr>
            </w:pPr>
            <w:r w:rsidRPr="007F00C7">
              <w:rPr>
                <w:rFonts w:ascii="Times New Roman" w:hAnsi="Times New Roman" w:cs="Times New Roman"/>
                <w:color w:val="000000"/>
                <w:sz w:val="20"/>
                <w:szCs w:val="20"/>
              </w:rPr>
              <w:t>2.72</w:t>
            </w:r>
          </w:p>
        </w:tc>
        <w:tc>
          <w:tcPr>
            <w:tcW w:w="989" w:type="dxa"/>
            <w:tcBorders>
              <w:top w:val="nil"/>
              <w:left w:val="nil"/>
              <w:bottom w:val="nil"/>
              <w:right w:val="nil"/>
            </w:tcBorders>
            <w:shd w:val="clear" w:color="auto" w:fill="FFFFFF"/>
            <w:tcMar>
              <w:top w:w="0" w:type="dxa"/>
              <w:left w:w="0" w:type="dxa"/>
              <w:bottom w:w="0" w:type="dxa"/>
              <w:right w:w="0" w:type="dxa"/>
            </w:tcMar>
          </w:tcPr>
          <w:p w14:paraId="000000DA" w14:textId="77777777" w:rsidR="001527B5" w:rsidRPr="007F00C7" w:rsidRDefault="00000000">
            <w:pPr>
              <w:pBdr>
                <w:top w:val="none" w:sz="0" w:space="0" w:color="000000"/>
                <w:left w:val="none" w:sz="0" w:space="0" w:color="000000"/>
                <w:bottom w:val="none" w:sz="0" w:space="0" w:color="000000"/>
                <w:right w:val="none" w:sz="0" w:space="0" w:color="000000"/>
              </w:pBdr>
              <w:spacing w:before="100"/>
              <w:ind w:left="100" w:right="100"/>
              <w:jc w:val="right"/>
              <w:rPr>
                <w:rFonts w:ascii="Times New Roman" w:hAnsi="Times New Roman" w:cs="Times New Roman"/>
                <w:sz w:val="20"/>
                <w:szCs w:val="20"/>
              </w:rPr>
            </w:pPr>
            <w:r w:rsidRPr="007F00C7">
              <w:rPr>
                <w:rFonts w:ascii="Times New Roman" w:hAnsi="Times New Roman" w:cs="Times New Roman"/>
                <w:color w:val="000000"/>
                <w:sz w:val="20"/>
                <w:szCs w:val="20"/>
              </w:rPr>
              <w:t>0.27</w:t>
            </w:r>
          </w:p>
        </w:tc>
        <w:tc>
          <w:tcPr>
            <w:tcW w:w="711" w:type="dxa"/>
            <w:tcBorders>
              <w:top w:val="nil"/>
              <w:left w:val="nil"/>
              <w:bottom w:val="nil"/>
              <w:right w:val="nil"/>
            </w:tcBorders>
            <w:shd w:val="clear" w:color="auto" w:fill="FFFFFF"/>
            <w:tcMar>
              <w:top w:w="0" w:type="dxa"/>
              <w:left w:w="0" w:type="dxa"/>
              <w:bottom w:w="0" w:type="dxa"/>
              <w:right w:w="0" w:type="dxa"/>
            </w:tcMar>
          </w:tcPr>
          <w:p w14:paraId="000000DB" w14:textId="77777777" w:rsidR="001527B5" w:rsidRPr="007F00C7" w:rsidRDefault="00000000">
            <w:pPr>
              <w:pBdr>
                <w:top w:val="none" w:sz="0" w:space="0" w:color="000000"/>
                <w:left w:val="none" w:sz="0" w:space="0" w:color="000000"/>
                <w:bottom w:val="none" w:sz="0" w:space="0" w:color="000000"/>
                <w:right w:val="none" w:sz="0" w:space="0" w:color="000000"/>
              </w:pBdr>
              <w:spacing w:before="100"/>
              <w:ind w:left="100" w:right="100"/>
              <w:jc w:val="right"/>
              <w:rPr>
                <w:rFonts w:ascii="Times New Roman" w:hAnsi="Times New Roman" w:cs="Times New Roman"/>
                <w:sz w:val="20"/>
                <w:szCs w:val="20"/>
              </w:rPr>
            </w:pPr>
            <w:r w:rsidRPr="007F00C7">
              <w:rPr>
                <w:rFonts w:ascii="Times New Roman" w:hAnsi="Times New Roman" w:cs="Times New Roman"/>
                <w:color w:val="000000"/>
                <w:sz w:val="20"/>
                <w:szCs w:val="20"/>
              </w:rPr>
              <w:t>0.54</w:t>
            </w:r>
          </w:p>
        </w:tc>
        <w:tc>
          <w:tcPr>
            <w:tcW w:w="550" w:type="dxa"/>
            <w:tcBorders>
              <w:top w:val="nil"/>
              <w:left w:val="nil"/>
              <w:bottom w:val="nil"/>
              <w:right w:val="nil"/>
            </w:tcBorders>
            <w:shd w:val="clear" w:color="auto" w:fill="FFFFFF"/>
            <w:tcMar>
              <w:top w:w="0" w:type="dxa"/>
              <w:left w:w="0" w:type="dxa"/>
              <w:bottom w:w="0" w:type="dxa"/>
              <w:right w:w="0" w:type="dxa"/>
            </w:tcMar>
          </w:tcPr>
          <w:p w14:paraId="000000DC" w14:textId="77777777" w:rsidR="001527B5" w:rsidRPr="007F00C7" w:rsidRDefault="00000000">
            <w:pPr>
              <w:pBdr>
                <w:top w:val="none" w:sz="0" w:space="0" w:color="000000"/>
                <w:left w:val="none" w:sz="0" w:space="0" w:color="000000"/>
                <w:bottom w:val="none" w:sz="0" w:space="0" w:color="000000"/>
                <w:right w:val="none" w:sz="0" w:space="0" w:color="000000"/>
              </w:pBdr>
              <w:spacing w:before="100"/>
              <w:ind w:left="100" w:right="100"/>
              <w:jc w:val="right"/>
              <w:rPr>
                <w:rFonts w:ascii="Times New Roman" w:hAnsi="Times New Roman" w:cs="Times New Roman"/>
                <w:sz w:val="20"/>
                <w:szCs w:val="20"/>
              </w:rPr>
            </w:pPr>
            <w:r w:rsidRPr="007F00C7">
              <w:rPr>
                <w:rFonts w:ascii="Times New Roman" w:hAnsi="Times New Roman" w:cs="Times New Roman"/>
                <w:color w:val="000000"/>
                <w:sz w:val="20"/>
                <w:szCs w:val="20"/>
              </w:rPr>
              <w:t>0.35</w:t>
            </w:r>
          </w:p>
        </w:tc>
      </w:tr>
      <w:tr w:rsidR="001410AD" w:rsidRPr="007F00C7" w14:paraId="5FA36B8E" w14:textId="77777777" w:rsidTr="001410AD">
        <w:trPr>
          <w:cantSplit/>
          <w:jc w:val="center"/>
        </w:trPr>
        <w:tc>
          <w:tcPr>
            <w:tcW w:w="1530" w:type="dxa"/>
            <w:tcBorders>
              <w:top w:val="nil"/>
              <w:left w:val="nil"/>
              <w:bottom w:val="nil"/>
              <w:right w:val="nil"/>
            </w:tcBorders>
            <w:shd w:val="clear" w:color="auto" w:fill="FFFFFF"/>
            <w:tcMar>
              <w:top w:w="0" w:type="dxa"/>
              <w:left w:w="0" w:type="dxa"/>
              <w:bottom w:w="0" w:type="dxa"/>
              <w:right w:w="0" w:type="dxa"/>
            </w:tcMar>
          </w:tcPr>
          <w:p w14:paraId="000000DD" w14:textId="77777777" w:rsidR="001527B5" w:rsidRPr="007F00C7" w:rsidRDefault="00000000">
            <w:pPr>
              <w:pBdr>
                <w:top w:val="none" w:sz="0" w:space="0" w:color="000000"/>
                <w:left w:val="none" w:sz="0" w:space="0" w:color="000000"/>
                <w:bottom w:val="none" w:sz="0" w:space="0" w:color="000000"/>
                <w:right w:val="none" w:sz="0" w:space="0" w:color="000000"/>
              </w:pBdr>
              <w:spacing w:before="100"/>
              <w:ind w:left="100" w:right="100"/>
              <w:rPr>
                <w:rFonts w:ascii="Times New Roman" w:hAnsi="Times New Roman" w:cs="Times New Roman"/>
                <w:sz w:val="20"/>
                <w:szCs w:val="20"/>
              </w:rPr>
            </w:pPr>
            <w:proofErr w:type="spellStart"/>
            <w:r w:rsidRPr="007F00C7">
              <w:rPr>
                <w:rFonts w:ascii="Times New Roman" w:hAnsi="Times New Roman" w:cs="Times New Roman"/>
                <w:color w:val="000000"/>
                <w:sz w:val="20"/>
                <w:szCs w:val="20"/>
              </w:rPr>
              <w:t>MultiCHM</w:t>
            </w:r>
            <w:proofErr w:type="spellEnd"/>
          </w:p>
        </w:tc>
        <w:tc>
          <w:tcPr>
            <w:tcW w:w="1062" w:type="dxa"/>
            <w:tcBorders>
              <w:top w:val="nil"/>
              <w:left w:val="nil"/>
              <w:bottom w:val="nil"/>
              <w:right w:val="nil"/>
            </w:tcBorders>
            <w:shd w:val="clear" w:color="auto" w:fill="FFFFFF"/>
            <w:tcMar>
              <w:top w:w="0" w:type="dxa"/>
              <w:left w:w="0" w:type="dxa"/>
              <w:bottom w:w="0" w:type="dxa"/>
              <w:right w:w="0" w:type="dxa"/>
            </w:tcMar>
          </w:tcPr>
          <w:p w14:paraId="000000DE" w14:textId="77777777" w:rsidR="001527B5" w:rsidRPr="007F00C7" w:rsidRDefault="00000000">
            <w:pPr>
              <w:pBdr>
                <w:top w:val="none" w:sz="0" w:space="0" w:color="000000"/>
                <w:left w:val="none" w:sz="0" w:space="0" w:color="000000"/>
                <w:bottom w:val="none" w:sz="0" w:space="0" w:color="000000"/>
                <w:right w:val="none" w:sz="0" w:space="0" w:color="000000"/>
              </w:pBdr>
              <w:spacing w:before="100"/>
              <w:ind w:left="100" w:right="100"/>
              <w:jc w:val="right"/>
              <w:rPr>
                <w:rFonts w:ascii="Times New Roman" w:hAnsi="Times New Roman" w:cs="Times New Roman"/>
                <w:sz w:val="20"/>
                <w:szCs w:val="20"/>
              </w:rPr>
            </w:pPr>
            <w:r w:rsidRPr="007F00C7">
              <w:rPr>
                <w:rFonts w:ascii="Times New Roman" w:hAnsi="Times New Roman" w:cs="Times New Roman"/>
                <w:color w:val="000000"/>
                <w:sz w:val="20"/>
                <w:szCs w:val="20"/>
              </w:rPr>
              <w:t>4,355</w:t>
            </w:r>
          </w:p>
        </w:tc>
        <w:tc>
          <w:tcPr>
            <w:tcW w:w="969" w:type="dxa"/>
            <w:tcBorders>
              <w:top w:val="nil"/>
              <w:left w:val="nil"/>
              <w:bottom w:val="nil"/>
              <w:right w:val="nil"/>
            </w:tcBorders>
            <w:shd w:val="clear" w:color="auto" w:fill="FFFFFF"/>
            <w:tcMar>
              <w:top w:w="0" w:type="dxa"/>
              <w:left w:w="0" w:type="dxa"/>
              <w:bottom w:w="0" w:type="dxa"/>
              <w:right w:w="0" w:type="dxa"/>
            </w:tcMar>
          </w:tcPr>
          <w:p w14:paraId="000000DF" w14:textId="77777777" w:rsidR="001527B5" w:rsidRPr="007F00C7" w:rsidRDefault="00000000">
            <w:pPr>
              <w:pBdr>
                <w:top w:val="none" w:sz="0" w:space="0" w:color="000000"/>
                <w:left w:val="none" w:sz="0" w:space="0" w:color="000000"/>
                <w:bottom w:val="none" w:sz="0" w:space="0" w:color="000000"/>
                <w:right w:val="none" w:sz="0" w:space="0" w:color="000000"/>
              </w:pBdr>
              <w:spacing w:before="100"/>
              <w:ind w:left="100" w:right="100"/>
              <w:jc w:val="right"/>
              <w:rPr>
                <w:rFonts w:ascii="Times New Roman" w:hAnsi="Times New Roman" w:cs="Times New Roman"/>
                <w:sz w:val="20"/>
                <w:szCs w:val="20"/>
              </w:rPr>
            </w:pPr>
            <w:r w:rsidRPr="007F00C7">
              <w:rPr>
                <w:rFonts w:ascii="Times New Roman" w:hAnsi="Times New Roman" w:cs="Times New Roman"/>
                <w:color w:val="000000"/>
                <w:sz w:val="20"/>
                <w:szCs w:val="20"/>
              </w:rPr>
              <w:t>3,254</w:t>
            </w:r>
          </w:p>
        </w:tc>
        <w:tc>
          <w:tcPr>
            <w:tcW w:w="1091" w:type="dxa"/>
            <w:tcBorders>
              <w:top w:val="nil"/>
              <w:left w:val="nil"/>
              <w:bottom w:val="nil"/>
              <w:right w:val="nil"/>
            </w:tcBorders>
            <w:shd w:val="clear" w:color="auto" w:fill="FFFFFF"/>
            <w:tcMar>
              <w:top w:w="0" w:type="dxa"/>
              <w:left w:w="0" w:type="dxa"/>
              <w:bottom w:w="0" w:type="dxa"/>
              <w:right w:w="0" w:type="dxa"/>
            </w:tcMar>
          </w:tcPr>
          <w:p w14:paraId="000000E0" w14:textId="77777777" w:rsidR="001527B5" w:rsidRPr="007F00C7" w:rsidRDefault="00000000">
            <w:pPr>
              <w:pBdr>
                <w:top w:val="none" w:sz="0" w:space="0" w:color="000000"/>
                <w:left w:val="none" w:sz="0" w:space="0" w:color="000000"/>
                <w:bottom w:val="none" w:sz="0" w:space="0" w:color="000000"/>
                <w:right w:val="none" w:sz="0" w:space="0" w:color="000000"/>
              </w:pBdr>
              <w:spacing w:before="100"/>
              <w:ind w:left="100" w:right="100"/>
              <w:jc w:val="right"/>
              <w:rPr>
                <w:rFonts w:ascii="Times New Roman" w:hAnsi="Times New Roman" w:cs="Times New Roman"/>
                <w:sz w:val="20"/>
                <w:szCs w:val="20"/>
              </w:rPr>
            </w:pPr>
            <w:r w:rsidRPr="007F00C7">
              <w:rPr>
                <w:rFonts w:ascii="Times New Roman" w:hAnsi="Times New Roman" w:cs="Times New Roman"/>
                <w:color w:val="000000"/>
                <w:sz w:val="20"/>
                <w:szCs w:val="20"/>
              </w:rPr>
              <w:t>0.75</w:t>
            </w:r>
          </w:p>
        </w:tc>
        <w:tc>
          <w:tcPr>
            <w:tcW w:w="838" w:type="dxa"/>
            <w:tcBorders>
              <w:top w:val="nil"/>
              <w:left w:val="nil"/>
              <w:bottom w:val="nil"/>
              <w:right w:val="nil"/>
            </w:tcBorders>
            <w:shd w:val="clear" w:color="auto" w:fill="FFFFFF"/>
            <w:tcMar>
              <w:top w:w="0" w:type="dxa"/>
              <w:left w:w="0" w:type="dxa"/>
              <w:bottom w:w="0" w:type="dxa"/>
              <w:right w:w="0" w:type="dxa"/>
            </w:tcMar>
          </w:tcPr>
          <w:p w14:paraId="000000E1" w14:textId="77777777" w:rsidR="001527B5" w:rsidRPr="007F00C7" w:rsidRDefault="00000000">
            <w:pPr>
              <w:pBdr>
                <w:top w:val="none" w:sz="0" w:space="0" w:color="000000"/>
                <w:left w:val="none" w:sz="0" w:space="0" w:color="000000"/>
                <w:bottom w:val="none" w:sz="0" w:space="0" w:color="000000"/>
                <w:right w:val="none" w:sz="0" w:space="0" w:color="000000"/>
              </w:pBdr>
              <w:spacing w:before="100"/>
              <w:ind w:left="100" w:right="100"/>
              <w:jc w:val="right"/>
              <w:rPr>
                <w:rFonts w:ascii="Times New Roman" w:hAnsi="Times New Roman" w:cs="Times New Roman"/>
                <w:sz w:val="20"/>
                <w:szCs w:val="20"/>
              </w:rPr>
            </w:pPr>
            <w:r w:rsidRPr="007F00C7">
              <w:rPr>
                <w:rFonts w:ascii="Times New Roman" w:hAnsi="Times New Roman" w:cs="Times New Roman"/>
                <w:color w:val="000000"/>
                <w:sz w:val="20"/>
                <w:szCs w:val="20"/>
              </w:rPr>
              <w:t>0.42</w:t>
            </w:r>
          </w:p>
        </w:tc>
        <w:tc>
          <w:tcPr>
            <w:tcW w:w="990" w:type="dxa"/>
            <w:tcBorders>
              <w:top w:val="nil"/>
              <w:left w:val="nil"/>
              <w:bottom w:val="nil"/>
              <w:right w:val="nil"/>
            </w:tcBorders>
            <w:shd w:val="clear" w:color="auto" w:fill="FFFFFF"/>
            <w:tcMar>
              <w:top w:w="0" w:type="dxa"/>
              <w:left w:w="0" w:type="dxa"/>
              <w:bottom w:w="0" w:type="dxa"/>
              <w:right w:w="0" w:type="dxa"/>
            </w:tcMar>
          </w:tcPr>
          <w:p w14:paraId="000000E2" w14:textId="77777777" w:rsidR="001527B5" w:rsidRPr="007F00C7" w:rsidRDefault="00000000">
            <w:pPr>
              <w:pBdr>
                <w:top w:val="none" w:sz="0" w:space="0" w:color="000000"/>
                <w:left w:val="none" w:sz="0" w:space="0" w:color="000000"/>
                <w:bottom w:val="none" w:sz="0" w:space="0" w:color="000000"/>
                <w:right w:val="none" w:sz="0" w:space="0" w:color="000000"/>
              </w:pBdr>
              <w:spacing w:before="100"/>
              <w:ind w:left="100" w:right="100"/>
              <w:jc w:val="right"/>
              <w:rPr>
                <w:rFonts w:ascii="Times New Roman" w:hAnsi="Times New Roman" w:cs="Times New Roman"/>
                <w:sz w:val="20"/>
                <w:szCs w:val="20"/>
              </w:rPr>
            </w:pPr>
            <w:r w:rsidRPr="007F00C7">
              <w:rPr>
                <w:rFonts w:ascii="Times New Roman" w:hAnsi="Times New Roman" w:cs="Times New Roman"/>
                <w:color w:val="000000"/>
                <w:sz w:val="20"/>
                <w:szCs w:val="20"/>
              </w:rPr>
              <w:t>0.42</w:t>
            </w:r>
          </w:p>
        </w:tc>
        <w:tc>
          <w:tcPr>
            <w:tcW w:w="810" w:type="dxa"/>
            <w:tcBorders>
              <w:top w:val="nil"/>
              <w:left w:val="nil"/>
              <w:bottom w:val="nil"/>
              <w:right w:val="nil"/>
            </w:tcBorders>
            <w:shd w:val="clear" w:color="auto" w:fill="FFFFFF"/>
            <w:tcMar>
              <w:top w:w="0" w:type="dxa"/>
              <w:left w:w="0" w:type="dxa"/>
              <w:bottom w:w="0" w:type="dxa"/>
              <w:right w:w="0" w:type="dxa"/>
            </w:tcMar>
          </w:tcPr>
          <w:p w14:paraId="000000E3" w14:textId="77777777" w:rsidR="001527B5" w:rsidRPr="007F00C7" w:rsidRDefault="00000000">
            <w:pPr>
              <w:pBdr>
                <w:top w:val="none" w:sz="0" w:space="0" w:color="000000"/>
                <w:left w:val="none" w:sz="0" w:space="0" w:color="000000"/>
                <w:bottom w:val="none" w:sz="0" w:space="0" w:color="000000"/>
                <w:right w:val="none" w:sz="0" w:space="0" w:color="000000"/>
              </w:pBdr>
              <w:spacing w:before="100"/>
              <w:ind w:left="100" w:right="100"/>
              <w:jc w:val="right"/>
              <w:rPr>
                <w:rFonts w:ascii="Times New Roman" w:hAnsi="Times New Roman" w:cs="Times New Roman"/>
                <w:sz w:val="20"/>
                <w:szCs w:val="20"/>
              </w:rPr>
            </w:pPr>
            <w:r w:rsidRPr="007F00C7">
              <w:rPr>
                <w:rFonts w:ascii="Times New Roman" w:hAnsi="Times New Roman" w:cs="Times New Roman"/>
                <w:color w:val="000000"/>
                <w:sz w:val="20"/>
                <w:szCs w:val="20"/>
              </w:rPr>
              <w:t>0.60</w:t>
            </w:r>
          </w:p>
        </w:tc>
        <w:tc>
          <w:tcPr>
            <w:tcW w:w="900" w:type="dxa"/>
            <w:tcBorders>
              <w:top w:val="nil"/>
              <w:left w:val="nil"/>
              <w:bottom w:val="nil"/>
              <w:right w:val="nil"/>
            </w:tcBorders>
            <w:shd w:val="clear" w:color="auto" w:fill="FFFFFF"/>
            <w:tcMar>
              <w:top w:w="0" w:type="dxa"/>
              <w:left w:w="0" w:type="dxa"/>
              <w:bottom w:w="0" w:type="dxa"/>
              <w:right w:w="0" w:type="dxa"/>
            </w:tcMar>
          </w:tcPr>
          <w:p w14:paraId="000000E4" w14:textId="77777777" w:rsidR="001527B5" w:rsidRPr="007F00C7" w:rsidRDefault="00000000">
            <w:pPr>
              <w:pBdr>
                <w:top w:val="none" w:sz="0" w:space="0" w:color="000000"/>
                <w:left w:val="none" w:sz="0" w:space="0" w:color="000000"/>
                <w:bottom w:val="none" w:sz="0" w:space="0" w:color="000000"/>
                <w:right w:val="none" w:sz="0" w:space="0" w:color="000000"/>
              </w:pBdr>
              <w:spacing w:before="100"/>
              <w:ind w:left="100" w:right="100"/>
              <w:jc w:val="right"/>
              <w:rPr>
                <w:rFonts w:ascii="Times New Roman" w:hAnsi="Times New Roman" w:cs="Times New Roman"/>
                <w:sz w:val="20"/>
                <w:szCs w:val="20"/>
              </w:rPr>
            </w:pPr>
            <w:r w:rsidRPr="007F00C7">
              <w:rPr>
                <w:rFonts w:ascii="Times New Roman" w:hAnsi="Times New Roman" w:cs="Times New Roman"/>
                <w:color w:val="000000"/>
                <w:sz w:val="20"/>
                <w:szCs w:val="20"/>
              </w:rPr>
              <w:t>0.52</w:t>
            </w:r>
          </w:p>
        </w:tc>
        <w:tc>
          <w:tcPr>
            <w:tcW w:w="900" w:type="dxa"/>
            <w:tcBorders>
              <w:top w:val="nil"/>
              <w:left w:val="nil"/>
              <w:bottom w:val="nil"/>
              <w:right w:val="nil"/>
            </w:tcBorders>
            <w:shd w:val="clear" w:color="auto" w:fill="FFFFFF"/>
            <w:tcMar>
              <w:top w:w="0" w:type="dxa"/>
              <w:left w:w="0" w:type="dxa"/>
              <w:bottom w:w="0" w:type="dxa"/>
              <w:right w:w="0" w:type="dxa"/>
            </w:tcMar>
          </w:tcPr>
          <w:p w14:paraId="000000E5" w14:textId="77777777" w:rsidR="001527B5" w:rsidRPr="007F00C7" w:rsidRDefault="00000000">
            <w:pPr>
              <w:pBdr>
                <w:top w:val="none" w:sz="0" w:space="0" w:color="000000"/>
                <w:left w:val="none" w:sz="0" w:space="0" w:color="000000"/>
                <w:bottom w:val="none" w:sz="0" w:space="0" w:color="000000"/>
                <w:right w:val="none" w:sz="0" w:space="0" w:color="000000"/>
              </w:pBdr>
              <w:spacing w:before="100"/>
              <w:ind w:left="100" w:right="100"/>
              <w:jc w:val="right"/>
              <w:rPr>
                <w:rFonts w:ascii="Times New Roman" w:hAnsi="Times New Roman" w:cs="Times New Roman"/>
                <w:sz w:val="20"/>
                <w:szCs w:val="20"/>
              </w:rPr>
            </w:pPr>
            <w:r w:rsidRPr="007F00C7">
              <w:rPr>
                <w:rFonts w:ascii="Times New Roman" w:hAnsi="Times New Roman" w:cs="Times New Roman"/>
                <w:color w:val="000000"/>
                <w:sz w:val="20"/>
                <w:szCs w:val="20"/>
              </w:rPr>
              <w:t>2.79</w:t>
            </w:r>
          </w:p>
        </w:tc>
        <w:tc>
          <w:tcPr>
            <w:tcW w:w="810" w:type="dxa"/>
            <w:tcBorders>
              <w:top w:val="nil"/>
              <w:left w:val="nil"/>
              <w:bottom w:val="nil"/>
              <w:right w:val="nil"/>
            </w:tcBorders>
            <w:shd w:val="clear" w:color="auto" w:fill="FFFFFF"/>
            <w:tcMar>
              <w:top w:w="0" w:type="dxa"/>
              <w:left w:w="0" w:type="dxa"/>
              <w:bottom w:w="0" w:type="dxa"/>
              <w:right w:w="0" w:type="dxa"/>
            </w:tcMar>
          </w:tcPr>
          <w:p w14:paraId="000000E6" w14:textId="77777777" w:rsidR="001527B5" w:rsidRPr="007F00C7" w:rsidRDefault="00000000">
            <w:pPr>
              <w:pBdr>
                <w:top w:val="none" w:sz="0" w:space="0" w:color="000000"/>
                <w:left w:val="none" w:sz="0" w:space="0" w:color="000000"/>
                <w:bottom w:val="none" w:sz="0" w:space="0" w:color="000000"/>
                <w:right w:val="none" w:sz="0" w:space="0" w:color="000000"/>
              </w:pBdr>
              <w:spacing w:before="100"/>
              <w:ind w:left="100" w:right="100"/>
              <w:jc w:val="right"/>
              <w:rPr>
                <w:rFonts w:ascii="Times New Roman" w:hAnsi="Times New Roman" w:cs="Times New Roman"/>
                <w:sz w:val="20"/>
                <w:szCs w:val="20"/>
              </w:rPr>
            </w:pPr>
            <w:r w:rsidRPr="007F00C7">
              <w:rPr>
                <w:rFonts w:ascii="Times New Roman" w:hAnsi="Times New Roman" w:cs="Times New Roman"/>
                <w:color w:val="000000"/>
                <w:sz w:val="20"/>
                <w:szCs w:val="20"/>
              </w:rPr>
              <w:t>1.52</w:t>
            </w:r>
          </w:p>
        </w:tc>
        <w:tc>
          <w:tcPr>
            <w:tcW w:w="810" w:type="dxa"/>
            <w:tcBorders>
              <w:top w:val="nil"/>
              <w:left w:val="nil"/>
              <w:bottom w:val="nil"/>
              <w:right w:val="nil"/>
            </w:tcBorders>
            <w:shd w:val="clear" w:color="auto" w:fill="FFFFFF"/>
            <w:tcMar>
              <w:top w:w="0" w:type="dxa"/>
              <w:left w:w="0" w:type="dxa"/>
              <w:bottom w:w="0" w:type="dxa"/>
              <w:right w:w="0" w:type="dxa"/>
            </w:tcMar>
          </w:tcPr>
          <w:p w14:paraId="000000E7" w14:textId="77777777" w:rsidR="001527B5" w:rsidRPr="007F00C7" w:rsidRDefault="00000000">
            <w:pPr>
              <w:pBdr>
                <w:top w:val="none" w:sz="0" w:space="0" w:color="000000"/>
                <w:left w:val="none" w:sz="0" w:space="0" w:color="000000"/>
                <w:bottom w:val="none" w:sz="0" w:space="0" w:color="000000"/>
                <w:right w:val="none" w:sz="0" w:space="0" w:color="000000"/>
              </w:pBdr>
              <w:spacing w:before="100"/>
              <w:ind w:left="100" w:right="100"/>
              <w:jc w:val="right"/>
              <w:rPr>
                <w:rFonts w:ascii="Times New Roman" w:hAnsi="Times New Roman" w:cs="Times New Roman"/>
                <w:sz w:val="20"/>
                <w:szCs w:val="20"/>
              </w:rPr>
            </w:pPr>
            <w:r w:rsidRPr="007F00C7">
              <w:rPr>
                <w:rFonts w:ascii="Times New Roman" w:hAnsi="Times New Roman" w:cs="Times New Roman"/>
                <w:color w:val="000000"/>
                <w:sz w:val="20"/>
                <w:szCs w:val="20"/>
              </w:rPr>
              <w:t>3.17</w:t>
            </w:r>
          </w:p>
        </w:tc>
        <w:tc>
          <w:tcPr>
            <w:tcW w:w="989" w:type="dxa"/>
            <w:tcBorders>
              <w:top w:val="nil"/>
              <w:left w:val="nil"/>
              <w:bottom w:val="nil"/>
              <w:right w:val="nil"/>
            </w:tcBorders>
            <w:shd w:val="clear" w:color="auto" w:fill="FFFFFF"/>
            <w:tcMar>
              <w:top w:w="0" w:type="dxa"/>
              <w:left w:w="0" w:type="dxa"/>
              <w:bottom w:w="0" w:type="dxa"/>
              <w:right w:w="0" w:type="dxa"/>
            </w:tcMar>
          </w:tcPr>
          <w:p w14:paraId="000000E8" w14:textId="77777777" w:rsidR="001527B5" w:rsidRPr="007F00C7" w:rsidRDefault="00000000">
            <w:pPr>
              <w:pBdr>
                <w:top w:val="none" w:sz="0" w:space="0" w:color="000000"/>
                <w:left w:val="none" w:sz="0" w:space="0" w:color="000000"/>
                <w:bottom w:val="none" w:sz="0" w:space="0" w:color="000000"/>
                <w:right w:val="none" w:sz="0" w:space="0" w:color="000000"/>
              </w:pBdr>
              <w:spacing w:before="100"/>
              <w:ind w:left="100" w:right="100"/>
              <w:jc w:val="right"/>
              <w:rPr>
                <w:rFonts w:ascii="Times New Roman" w:hAnsi="Times New Roman" w:cs="Times New Roman"/>
                <w:sz w:val="20"/>
                <w:szCs w:val="20"/>
              </w:rPr>
            </w:pPr>
            <w:r w:rsidRPr="007F00C7">
              <w:rPr>
                <w:rFonts w:ascii="Times New Roman" w:hAnsi="Times New Roman" w:cs="Times New Roman"/>
                <w:color w:val="000000"/>
                <w:sz w:val="20"/>
                <w:szCs w:val="20"/>
              </w:rPr>
              <w:t>0.51</w:t>
            </w:r>
          </w:p>
        </w:tc>
        <w:tc>
          <w:tcPr>
            <w:tcW w:w="711" w:type="dxa"/>
            <w:tcBorders>
              <w:top w:val="nil"/>
              <w:left w:val="nil"/>
              <w:bottom w:val="nil"/>
              <w:right w:val="nil"/>
            </w:tcBorders>
            <w:shd w:val="clear" w:color="auto" w:fill="FFFFFF"/>
            <w:tcMar>
              <w:top w:w="0" w:type="dxa"/>
              <w:left w:w="0" w:type="dxa"/>
              <w:bottom w:w="0" w:type="dxa"/>
              <w:right w:w="0" w:type="dxa"/>
            </w:tcMar>
          </w:tcPr>
          <w:p w14:paraId="000000E9" w14:textId="77777777" w:rsidR="001527B5" w:rsidRPr="007F00C7" w:rsidRDefault="00000000">
            <w:pPr>
              <w:pBdr>
                <w:top w:val="none" w:sz="0" w:space="0" w:color="000000"/>
                <w:left w:val="none" w:sz="0" w:space="0" w:color="000000"/>
                <w:bottom w:val="none" w:sz="0" w:space="0" w:color="000000"/>
                <w:right w:val="none" w:sz="0" w:space="0" w:color="000000"/>
              </w:pBdr>
              <w:spacing w:before="100"/>
              <w:ind w:left="100" w:right="100"/>
              <w:jc w:val="right"/>
              <w:rPr>
                <w:rFonts w:ascii="Times New Roman" w:hAnsi="Times New Roman" w:cs="Times New Roman"/>
                <w:sz w:val="20"/>
                <w:szCs w:val="20"/>
              </w:rPr>
            </w:pPr>
            <w:r w:rsidRPr="007F00C7">
              <w:rPr>
                <w:rFonts w:ascii="Times New Roman" w:hAnsi="Times New Roman" w:cs="Times New Roman"/>
                <w:color w:val="000000"/>
                <w:sz w:val="20"/>
                <w:szCs w:val="20"/>
              </w:rPr>
              <w:t>0.42</w:t>
            </w:r>
          </w:p>
        </w:tc>
        <w:tc>
          <w:tcPr>
            <w:tcW w:w="550" w:type="dxa"/>
            <w:tcBorders>
              <w:top w:val="nil"/>
              <w:left w:val="nil"/>
              <w:bottom w:val="nil"/>
              <w:right w:val="nil"/>
            </w:tcBorders>
            <w:shd w:val="clear" w:color="auto" w:fill="FFFFFF"/>
            <w:tcMar>
              <w:top w:w="0" w:type="dxa"/>
              <w:left w:w="0" w:type="dxa"/>
              <w:bottom w:w="0" w:type="dxa"/>
              <w:right w:w="0" w:type="dxa"/>
            </w:tcMar>
          </w:tcPr>
          <w:p w14:paraId="000000EA" w14:textId="77777777" w:rsidR="001527B5" w:rsidRPr="007F00C7" w:rsidRDefault="00000000">
            <w:pPr>
              <w:pBdr>
                <w:top w:val="none" w:sz="0" w:space="0" w:color="000000"/>
                <w:left w:val="none" w:sz="0" w:space="0" w:color="000000"/>
                <w:bottom w:val="none" w:sz="0" w:space="0" w:color="000000"/>
                <w:right w:val="none" w:sz="0" w:space="0" w:color="000000"/>
              </w:pBdr>
              <w:spacing w:before="100"/>
              <w:ind w:left="100" w:right="100"/>
              <w:jc w:val="right"/>
              <w:rPr>
                <w:rFonts w:ascii="Times New Roman" w:hAnsi="Times New Roman" w:cs="Times New Roman"/>
                <w:sz w:val="20"/>
                <w:szCs w:val="20"/>
              </w:rPr>
            </w:pPr>
            <w:r w:rsidRPr="007F00C7">
              <w:rPr>
                <w:rFonts w:ascii="Times New Roman" w:hAnsi="Times New Roman" w:cs="Times New Roman"/>
                <w:color w:val="000000"/>
                <w:sz w:val="20"/>
                <w:szCs w:val="20"/>
              </w:rPr>
              <w:t>0.43</w:t>
            </w:r>
          </w:p>
        </w:tc>
      </w:tr>
      <w:tr w:rsidR="001410AD" w:rsidRPr="007F00C7" w14:paraId="1B620CB7" w14:textId="77777777" w:rsidTr="001410AD">
        <w:trPr>
          <w:cantSplit/>
          <w:jc w:val="center"/>
        </w:trPr>
        <w:tc>
          <w:tcPr>
            <w:tcW w:w="1530" w:type="dxa"/>
            <w:tcBorders>
              <w:top w:val="nil"/>
              <w:left w:val="nil"/>
              <w:bottom w:val="nil"/>
              <w:right w:val="nil"/>
            </w:tcBorders>
            <w:shd w:val="clear" w:color="auto" w:fill="FFFFFF"/>
            <w:tcMar>
              <w:top w:w="0" w:type="dxa"/>
              <w:left w:w="0" w:type="dxa"/>
              <w:bottom w:w="0" w:type="dxa"/>
              <w:right w:w="0" w:type="dxa"/>
            </w:tcMar>
          </w:tcPr>
          <w:p w14:paraId="000000EB" w14:textId="77777777" w:rsidR="001527B5" w:rsidRPr="007F00C7" w:rsidRDefault="00000000">
            <w:pPr>
              <w:pBdr>
                <w:top w:val="none" w:sz="0" w:space="0" w:color="000000"/>
                <w:left w:val="none" w:sz="0" w:space="0" w:color="000000"/>
                <w:bottom w:val="none" w:sz="0" w:space="0" w:color="000000"/>
                <w:right w:val="none" w:sz="0" w:space="0" w:color="000000"/>
              </w:pBdr>
              <w:spacing w:before="100"/>
              <w:ind w:left="100" w:right="100"/>
              <w:rPr>
                <w:rFonts w:ascii="Times New Roman" w:hAnsi="Times New Roman" w:cs="Times New Roman"/>
                <w:sz w:val="20"/>
                <w:szCs w:val="20"/>
              </w:rPr>
            </w:pPr>
            <w:proofErr w:type="spellStart"/>
            <w:r w:rsidRPr="007F00C7">
              <w:rPr>
                <w:rFonts w:ascii="Times New Roman" w:hAnsi="Times New Roman" w:cs="Times New Roman"/>
                <w:color w:val="000000"/>
                <w:sz w:val="20"/>
                <w:szCs w:val="20"/>
              </w:rPr>
              <w:t>PTrees</w:t>
            </w:r>
            <w:proofErr w:type="spellEnd"/>
          </w:p>
        </w:tc>
        <w:tc>
          <w:tcPr>
            <w:tcW w:w="1062" w:type="dxa"/>
            <w:tcBorders>
              <w:top w:val="nil"/>
              <w:left w:val="nil"/>
              <w:bottom w:val="nil"/>
              <w:right w:val="nil"/>
            </w:tcBorders>
            <w:shd w:val="clear" w:color="auto" w:fill="FFFFFF"/>
            <w:tcMar>
              <w:top w:w="0" w:type="dxa"/>
              <w:left w:w="0" w:type="dxa"/>
              <w:bottom w:w="0" w:type="dxa"/>
              <w:right w:w="0" w:type="dxa"/>
            </w:tcMar>
          </w:tcPr>
          <w:p w14:paraId="000000EC" w14:textId="77777777" w:rsidR="001527B5" w:rsidRPr="007F00C7" w:rsidRDefault="00000000">
            <w:pPr>
              <w:pBdr>
                <w:top w:val="none" w:sz="0" w:space="0" w:color="000000"/>
                <w:left w:val="none" w:sz="0" w:space="0" w:color="000000"/>
                <w:bottom w:val="none" w:sz="0" w:space="0" w:color="000000"/>
                <w:right w:val="none" w:sz="0" w:space="0" w:color="000000"/>
              </w:pBdr>
              <w:spacing w:before="100"/>
              <w:ind w:left="100" w:right="100"/>
              <w:jc w:val="right"/>
              <w:rPr>
                <w:rFonts w:ascii="Times New Roman" w:hAnsi="Times New Roman" w:cs="Times New Roman"/>
                <w:sz w:val="20"/>
                <w:szCs w:val="20"/>
              </w:rPr>
            </w:pPr>
            <w:r w:rsidRPr="007F00C7">
              <w:rPr>
                <w:rFonts w:ascii="Times New Roman" w:hAnsi="Times New Roman" w:cs="Times New Roman"/>
                <w:color w:val="000000"/>
                <w:sz w:val="20"/>
                <w:szCs w:val="20"/>
              </w:rPr>
              <w:t>4,355</w:t>
            </w:r>
          </w:p>
        </w:tc>
        <w:tc>
          <w:tcPr>
            <w:tcW w:w="969" w:type="dxa"/>
            <w:tcBorders>
              <w:top w:val="nil"/>
              <w:left w:val="nil"/>
              <w:bottom w:val="nil"/>
              <w:right w:val="nil"/>
            </w:tcBorders>
            <w:shd w:val="clear" w:color="auto" w:fill="FFFFFF"/>
            <w:tcMar>
              <w:top w:w="0" w:type="dxa"/>
              <w:left w:w="0" w:type="dxa"/>
              <w:bottom w:w="0" w:type="dxa"/>
              <w:right w:w="0" w:type="dxa"/>
            </w:tcMar>
          </w:tcPr>
          <w:p w14:paraId="000000ED" w14:textId="77777777" w:rsidR="001527B5" w:rsidRPr="007F00C7" w:rsidRDefault="00000000">
            <w:pPr>
              <w:pBdr>
                <w:top w:val="none" w:sz="0" w:space="0" w:color="000000"/>
                <w:left w:val="none" w:sz="0" w:space="0" w:color="000000"/>
                <w:bottom w:val="none" w:sz="0" w:space="0" w:color="000000"/>
                <w:right w:val="none" w:sz="0" w:space="0" w:color="000000"/>
              </w:pBdr>
              <w:spacing w:before="100"/>
              <w:ind w:left="100" w:right="100"/>
              <w:jc w:val="right"/>
              <w:rPr>
                <w:rFonts w:ascii="Times New Roman" w:hAnsi="Times New Roman" w:cs="Times New Roman"/>
                <w:sz w:val="20"/>
                <w:szCs w:val="20"/>
              </w:rPr>
            </w:pPr>
            <w:r w:rsidRPr="007F00C7">
              <w:rPr>
                <w:rFonts w:ascii="Times New Roman" w:hAnsi="Times New Roman" w:cs="Times New Roman"/>
                <w:color w:val="000000"/>
                <w:sz w:val="20"/>
                <w:szCs w:val="20"/>
              </w:rPr>
              <w:t>8,305</w:t>
            </w:r>
          </w:p>
        </w:tc>
        <w:tc>
          <w:tcPr>
            <w:tcW w:w="1091" w:type="dxa"/>
            <w:tcBorders>
              <w:top w:val="nil"/>
              <w:left w:val="nil"/>
              <w:bottom w:val="nil"/>
              <w:right w:val="nil"/>
            </w:tcBorders>
            <w:shd w:val="clear" w:color="auto" w:fill="FFFFFF"/>
            <w:tcMar>
              <w:top w:w="0" w:type="dxa"/>
              <w:left w:w="0" w:type="dxa"/>
              <w:bottom w:w="0" w:type="dxa"/>
              <w:right w:w="0" w:type="dxa"/>
            </w:tcMar>
          </w:tcPr>
          <w:p w14:paraId="000000EE" w14:textId="77777777" w:rsidR="001527B5" w:rsidRPr="007F00C7" w:rsidRDefault="00000000">
            <w:pPr>
              <w:pBdr>
                <w:top w:val="none" w:sz="0" w:space="0" w:color="000000"/>
                <w:left w:val="none" w:sz="0" w:space="0" w:color="000000"/>
                <w:bottom w:val="none" w:sz="0" w:space="0" w:color="000000"/>
                <w:right w:val="none" w:sz="0" w:space="0" w:color="000000"/>
              </w:pBdr>
              <w:spacing w:before="100"/>
              <w:ind w:left="100" w:right="100"/>
              <w:jc w:val="right"/>
              <w:rPr>
                <w:rFonts w:ascii="Times New Roman" w:hAnsi="Times New Roman" w:cs="Times New Roman"/>
                <w:sz w:val="20"/>
                <w:szCs w:val="20"/>
              </w:rPr>
            </w:pPr>
            <w:r w:rsidRPr="007F00C7">
              <w:rPr>
                <w:rFonts w:ascii="Times New Roman" w:hAnsi="Times New Roman" w:cs="Times New Roman"/>
                <w:color w:val="000000"/>
                <w:sz w:val="20"/>
                <w:szCs w:val="20"/>
              </w:rPr>
              <w:t>1.91</w:t>
            </w:r>
          </w:p>
        </w:tc>
        <w:tc>
          <w:tcPr>
            <w:tcW w:w="838" w:type="dxa"/>
            <w:tcBorders>
              <w:top w:val="nil"/>
              <w:left w:val="nil"/>
              <w:bottom w:val="nil"/>
              <w:right w:val="nil"/>
            </w:tcBorders>
            <w:shd w:val="clear" w:color="auto" w:fill="FFFFFF"/>
            <w:tcMar>
              <w:top w:w="0" w:type="dxa"/>
              <w:left w:w="0" w:type="dxa"/>
              <w:bottom w:w="0" w:type="dxa"/>
              <w:right w:w="0" w:type="dxa"/>
            </w:tcMar>
          </w:tcPr>
          <w:p w14:paraId="000000EF" w14:textId="77777777" w:rsidR="001527B5" w:rsidRPr="007F00C7" w:rsidRDefault="00000000">
            <w:pPr>
              <w:pBdr>
                <w:top w:val="none" w:sz="0" w:space="0" w:color="000000"/>
                <w:left w:val="none" w:sz="0" w:space="0" w:color="000000"/>
                <w:bottom w:val="none" w:sz="0" w:space="0" w:color="000000"/>
                <w:right w:val="none" w:sz="0" w:space="0" w:color="000000"/>
              </w:pBdr>
              <w:spacing w:before="100"/>
              <w:ind w:left="100" w:right="100"/>
              <w:jc w:val="right"/>
              <w:rPr>
                <w:rFonts w:ascii="Times New Roman" w:hAnsi="Times New Roman" w:cs="Times New Roman"/>
                <w:sz w:val="20"/>
                <w:szCs w:val="20"/>
              </w:rPr>
            </w:pPr>
            <w:r w:rsidRPr="007F00C7">
              <w:rPr>
                <w:rFonts w:ascii="Times New Roman" w:hAnsi="Times New Roman" w:cs="Times New Roman"/>
                <w:color w:val="000000"/>
                <w:sz w:val="20"/>
                <w:szCs w:val="20"/>
              </w:rPr>
              <w:t>0.53</w:t>
            </w:r>
          </w:p>
        </w:tc>
        <w:tc>
          <w:tcPr>
            <w:tcW w:w="990" w:type="dxa"/>
            <w:tcBorders>
              <w:top w:val="nil"/>
              <w:left w:val="nil"/>
              <w:bottom w:val="nil"/>
              <w:right w:val="nil"/>
            </w:tcBorders>
            <w:shd w:val="clear" w:color="auto" w:fill="FFFFFF"/>
            <w:tcMar>
              <w:top w:w="0" w:type="dxa"/>
              <w:left w:w="0" w:type="dxa"/>
              <w:bottom w:w="0" w:type="dxa"/>
              <w:right w:w="0" w:type="dxa"/>
            </w:tcMar>
          </w:tcPr>
          <w:p w14:paraId="000000F0" w14:textId="77777777" w:rsidR="001527B5" w:rsidRPr="007F00C7" w:rsidRDefault="00000000">
            <w:pPr>
              <w:pBdr>
                <w:top w:val="none" w:sz="0" w:space="0" w:color="000000"/>
                <w:left w:val="none" w:sz="0" w:space="0" w:color="000000"/>
                <w:bottom w:val="none" w:sz="0" w:space="0" w:color="000000"/>
                <w:right w:val="none" w:sz="0" w:space="0" w:color="000000"/>
              </w:pBdr>
              <w:spacing w:before="100"/>
              <w:ind w:left="100" w:right="100"/>
              <w:jc w:val="right"/>
              <w:rPr>
                <w:rFonts w:ascii="Times New Roman" w:hAnsi="Times New Roman" w:cs="Times New Roman"/>
                <w:sz w:val="20"/>
                <w:szCs w:val="20"/>
              </w:rPr>
            </w:pPr>
            <w:r w:rsidRPr="007F00C7">
              <w:rPr>
                <w:rFonts w:ascii="Times New Roman" w:hAnsi="Times New Roman" w:cs="Times New Roman"/>
                <w:color w:val="000000"/>
                <w:sz w:val="20"/>
                <w:szCs w:val="20"/>
              </w:rPr>
              <w:t>0.53</w:t>
            </w:r>
          </w:p>
        </w:tc>
        <w:tc>
          <w:tcPr>
            <w:tcW w:w="810" w:type="dxa"/>
            <w:tcBorders>
              <w:top w:val="nil"/>
              <w:left w:val="nil"/>
              <w:bottom w:val="nil"/>
              <w:right w:val="nil"/>
            </w:tcBorders>
            <w:shd w:val="clear" w:color="auto" w:fill="FFFFFF"/>
            <w:tcMar>
              <w:top w:w="0" w:type="dxa"/>
              <w:left w:w="0" w:type="dxa"/>
              <w:bottom w:w="0" w:type="dxa"/>
              <w:right w:w="0" w:type="dxa"/>
            </w:tcMar>
          </w:tcPr>
          <w:p w14:paraId="000000F1" w14:textId="77777777" w:rsidR="001527B5" w:rsidRPr="007F00C7" w:rsidRDefault="00000000">
            <w:pPr>
              <w:pBdr>
                <w:top w:val="none" w:sz="0" w:space="0" w:color="000000"/>
                <w:left w:val="none" w:sz="0" w:space="0" w:color="000000"/>
                <w:bottom w:val="none" w:sz="0" w:space="0" w:color="000000"/>
                <w:right w:val="none" w:sz="0" w:space="0" w:color="000000"/>
              </w:pBdr>
              <w:spacing w:before="100"/>
              <w:ind w:left="100" w:right="100"/>
              <w:jc w:val="right"/>
              <w:rPr>
                <w:rFonts w:ascii="Times New Roman" w:hAnsi="Times New Roman" w:cs="Times New Roman"/>
                <w:sz w:val="20"/>
                <w:szCs w:val="20"/>
              </w:rPr>
            </w:pPr>
            <w:r w:rsidRPr="007F00C7">
              <w:rPr>
                <w:rFonts w:ascii="Times New Roman" w:hAnsi="Times New Roman" w:cs="Times New Roman"/>
                <w:color w:val="000000"/>
                <w:sz w:val="20"/>
                <w:szCs w:val="20"/>
              </w:rPr>
              <w:t>0.49</w:t>
            </w:r>
          </w:p>
        </w:tc>
        <w:tc>
          <w:tcPr>
            <w:tcW w:w="900" w:type="dxa"/>
            <w:tcBorders>
              <w:top w:val="nil"/>
              <w:left w:val="nil"/>
              <w:bottom w:val="nil"/>
              <w:right w:val="nil"/>
            </w:tcBorders>
            <w:shd w:val="clear" w:color="auto" w:fill="FFFFFF"/>
            <w:tcMar>
              <w:top w:w="0" w:type="dxa"/>
              <w:left w:w="0" w:type="dxa"/>
              <w:bottom w:w="0" w:type="dxa"/>
              <w:right w:w="0" w:type="dxa"/>
            </w:tcMar>
          </w:tcPr>
          <w:p w14:paraId="000000F2" w14:textId="77777777" w:rsidR="001527B5" w:rsidRPr="007F00C7" w:rsidRDefault="00000000">
            <w:pPr>
              <w:pBdr>
                <w:top w:val="none" w:sz="0" w:space="0" w:color="000000"/>
                <w:left w:val="none" w:sz="0" w:space="0" w:color="000000"/>
                <w:bottom w:val="none" w:sz="0" w:space="0" w:color="000000"/>
                <w:right w:val="none" w:sz="0" w:space="0" w:color="000000"/>
              </w:pBdr>
              <w:spacing w:before="100"/>
              <w:ind w:left="100" w:right="100"/>
              <w:jc w:val="right"/>
              <w:rPr>
                <w:rFonts w:ascii="Times New Roman" w:hAnsi="Times New Roman" w:cs="Times New Roman"/>
                <w:sz w:val="20"/>
                <w:szCs w:val="20"/>
              </w:rPr>
            </w:pPr>
            <w:r w:rsidRPr="007F00C7">
              <w:rPr>
                <w:rFonts w:ascii="Times New Roman" w:hAnsi="Times New Roman" w:cs="Times New Roman"/>
                <w:color w:val="000000"/>
                <w:sz w:val="20"/>
                <w:szCs w:val="20"/>
              </w:rPr>
              <w:t>0.74</w:t>
            </w:r>
          </w:p>
        </w:tc>
        <w:tc>
          <w:tcPr>
            <w:tcW w:w="900" w:type="dxa"/>
            <w:tcBorders>
              <w:top w:val="nil"/>
              <w:left w:val="nil"/>
              <w:bottom w:val="nil"/>
              <w:right w:val="nil"/>
            </w:tcBorders>
            <w:shd w:val="clear" w:color="auto" w:fill="FFFFFF"/>
            <w:tcMar>
              <w:top w:w="0" w:type="dxa"/>
              <w:left w:w="0" w:type="dxa"/>
              <w:bottom w:w="0" w:type="dxa"/>
              <w:right w:w="0" w:type="dxa"/>
            </w:tcMar>
          </w:tcPr>
          <w:p w14:paraId="000000F3" w14:textId="77777777" w:rsidR="001527B5" w:rsidRPr="007F00C7" w:rsidRDefault="00000000">
            <w:pPr>
              <w:pBdr>
                <w:top w:val="none" w:sz="0" w:space="0" w:color="000000"/>
                <w:left w:val="none" w:sz="0" w:space="0" w:color="000000"/>
                <w:bottom w:val="none" w:sz="0" w:space="0" w:color="000000"/>
                <w:right w:val="none" w:sz="0" w:space="0" w:color="000000"/>
              </w:pBdr>
              <w:spacing w:before="100"/>
              <w:ind w:left="100" w:right="100"/>
              <w:jc w:val="right"/>
              <w:rPr>
                <w:rFonts w:ascii="Times New Roman" w:hAnsi="Times New Roman" w:cs="Times New Roman"/>
                <w:sz w:val="20"/>
                <w:szCs w:val="20"/>
              </w:rPr>
            </w:pPr>
            <w:r w:rsidRPr="007F00C7">
              <w:rPr>
                <w:rFonts w:ascii="Times New Roman" w:hAnsi="Times New Roman" w:cs="Times New Roman"/>
                <w:color w:val="000000"/>
                <w:sz w:val="20"/>
                <w:szCs w:val="20"/>
              </w:rPr>
              <w:t>2.58</w:t>
            </w:r>
          </w:p>
        </w:tc>
        <w:tc>
          <w:tcPr>
            <w:tcW w:w="810" w:type="dxa"/>
            <w:tcBorders>
              <w:top w:val="nil"/>
              <w:left w:val="nil"/>
              <w:bottom w:val="nil"/>
              <w:right w:val="nil"/>
            </w:tcBorders>
            <w:shd w:val="clear" w:color="auto" w:fill="FFFFFF"/>
            <w:tcMar>
              <w:top w:w="0" w:type="dxa"/>
              <w:left w:w="0" w:type="dxa"/>
              <w:bottom w:w="0" w:type="dxa"/>
              <w:right w:w="0" w:type="dxa"/>
            </w:tcMar>
          </w:tcPr>
          <w:p w14:paraId="000000F4" w14:textId="77777777" w:rsidR="001527B5" w:rsidRPr="007F00C7" w:rsidRDefault="00000000">
            <w:pPr>
              <w:pBdr>
                <w:top w:val="none" w:sz="0" w:space="0" w:color="000000"/>
                <w:left w:val="none" w:sz="0" w:space="0" w:color="000000"/>
                <w:bottom w:val="none" w:sz="0" w:space="0" w:color="000000"/>
                <w:right w:val="none" w:sz="0" w:space="0" w:color="000000"/>
              </w:pBdr>
              <w:spacing w:before="100"/>
              <w:ind w:left="100" w:right="100"/>
              <w:jc w:val="right"/>
              <w:rPr>
                <w:rFonts w:ascii="Times New Roman" w:hAnsi="Times New Roman" w:cs="Times New Roman"/>
                <w:sz w:val="20"/>
                <w:szCs w:val="20"/>
              </w:rPr>
            </w:pPr>
            <w:r w:rsidRPr="007F00C7">
              <w:rPr>
                <w:rFonts w:ascii="Times New Roman" w:hAnsi="Times New Roman" w:cs="Times New Roman"/>
                <w:color w:val="000000"/>
                <w:sz w:val="20"/>
                <w:szCs w:val="20"/>
              </w:rPr>
              <w:t>1.44</w:t>
            </w:r>
          </w:p>
        </w:tc>
        <w:tc>
          <w:tcPr>
            <w:tcW w:w="810" w:type="dxa"/>
            <w:tcBorders>
              <w:top w:val="nil"/>
              <w:left w:val="nil"/>
              <w:bottom w:val="nil"/>
              <w:right w:val="nil"/>
            </w:tcBorders>
            <w:shd w:val="clear" w:color="auto" w:fill="FFFFFF"/>
            <w:tcMar>
              <w:top w:w="0" w:type="dxa"/>
              <w:left w:w="0" w:type="dxa"/>
              <w:bottom w:w="0" w:type="dxa"/>
              <w:right w:w="0" w:type="dxa"/>
            </w:tcMar>
          </w:tcPr>
          <w:p w14:paraId="000000F5" w14:textId="77777777" w:rsidR="001527B5" w:rsidRPr="007F00C7" w:rsidRDefault="00000000">
            <w:pPr>
              <w:pBdr>
                <w:top w:val="none" w:sz="0" w:space="0" w:color="000000"/>
                <w:left w:val="none" w:sz="0" w:space="0" w:color="000000"/>
                <w:bottom w:val="none" w:sz="0" w:space="0" w:color="000000"/>
                <w:right w:val="none" w:sz="0" w:space="0" w:color="000000"/>
              </w:pBdr>
              <w:spacing w:before="100"/>
              <w:ind w:left="100" w:right="100"/>
              <w:jc w:val="right"/>
              <w:rPr>
                <w:rFonts w:ascii="Times New Roman" w:hAnsi="Times New Roman" w:cs="Times New Roman"/>
                <w:sz w:val="20"/>
                <w:szCs w:val="20"/>
              </w:rPr>
            </w:pPr>
            <w:r w:rsidRPr="007F00C7">
              <w:rPr>
                <w:rFonts w:ascii="Times New Roman" w:hAnsi="Times New Roman" w:cs="Times New Roman"/>
                <w:color w:val="000000"/>
                <w:sz w:val="20"/>
                <w:szCs w:val="20"/>
              </w:rPr>
              <w:t>2.96</w:t>
            </w:r>
          </w:p>
        </w:tc>
        <w:tc>
          <w:tcPr>
            <w:tcW w:w="989" w:type="dxa"/>
            <w:tcBorders>
              <w:top w:val="nil"/>
              <w:left w:val="nil"/>
              <w:bottom w:val="nil"/>
              <w:right w:val="nil"/>
            </w:tcBorders>
            <w:shd w:val="clear" w:color="auto" w:fill="FFFFFF"/>
            <w:tcMar>
              <w:top w:w="0" w:type="dxa"/>
              <w:left w:w="0" w:type="dxa"/>
              <w:bottom w:w="0" w:type="dxa"/>
              <w:right w:w="0" w:type="dxa"/>
            </w:tcMar>
          </w:tcPr>
          <w:p w14:paraId="000000F6" w14:textId="77777777" w:rsidR="001527B5" w:rsidRPr="007F00C7" w:rsidRDefault="00000000">
            <w:pPr>
              <w:pBdr>
                <w:top w:val="none" w:sz="0" w:space="0" w:color="000000"/>
                <w:left w:val="none" w:sz="0" w:space="0" w:color="000000"/>
                <w:bottom w:val="none" w:sz="0" w:space="0" w:color="000000"/>
                <w:right w:val="none" w:sz="0" w:space="0" w:color="000000"/>
              </w:pBdr>
              <w:spacing w:before="100"/>
              <w:ind w:left="100" w:right="100"/>
              <w:jc w:val="right"/>
              <w:rPr>
                <w:rFonts w:ascii="Times New Roman" w:hAnsi="Times New Roman" w:cs="Times New Roman"/>
                <w:sz w:val="20"/>
                <w:szCs w:val="20"/>
              </w:rPr>
            </w:pPr>
            <w:r w:rsidRPr="007F00C7">
              <w:rPr>
                <w:rFonts w:ascii="Times New Roman" w:hAnsi="Times New Roman" w:cs="Times New Roman"/>
                <w:color w:val="000000"/>
                <w:sz w:val="20"/>
                <w:szCs w:val="20"/>
              </w:rPr>
              <w:t>0.28</w:t>
            </w:r>
          </w:p>
        </w:tc>
        <w:tc>
          <w:tcPr>
            <w:tcW w:w="711" w:type="dxa"/>
            <w:tcBorders>
              <w:top w:val="nil"/>
              <w:left w:val="nil"/>
              <w:bottom w:val="nil"/>
              <w:right w:val="nil"/>
            </w:tcBorders>
            <w:shd w:val="clear" w:color="auto" w:fill="FFFFFF"/>
            <w:tcMar>
              <w:top w:w="0" w:type="dxa"/>
              <w:left w:w="0" w:type="dxa"/>
              <w:bottom w:w="0" w:type="dxa"/>
              <w:right w:w="0" w:type="dxa"/>
            </w:tcMar>
          </w:tcPr>
          <w:p w14:paraId="000000F7" w14:textId="77777777" w:rsidR="001527B5" w:rsidRPr="007F00C7" w:rsidRDefault="00000000">
            <w:pPr>
              <w:pBdr>
                <w:top w:val="none" w:sz="0" w:space="0" w:color="000000"/>
                <w:left w:val="none" w:sz="0" w:space="0" w:color="000000"/>
                <w:bottom w:val="none" w:sz="0" w:space="0" w:color="000000"/>
                <w:right w:val="none" w:sz="0" w:space="0" w:color="000000"/>
              </w:pBdr>
              <w:spacing w:before="100"/>
              <w:ind w:left="100" w:right="100"/>
              <w:jc w:val="right"/>
              <w:rPr>
                <w:rFonts w:ascii="Times New Roman" w:hAnsi="Times New Roman" w:cs="Times New Roman"/>
                <w:sz w:val="20"/>
                <w:szCs w:val="20"/>
              </w:rPr>
            </w:pPr>
            <w:r w:rsidRPr="007F00C7">
              <w:rPr>
                <w:rFonts w:ascii="Times New Roman" w:hAnsi="Times New Roman" w:cs="Times New Roman"/>
                <w:color w:val="000000"/>
                <w:sz w:val="20"/>
                <w:szCs w:val="20"/>
              </w:rPr>
              <w:t>0.53</w:t>
            </w:r>
          </w:p>
        </w:tc>
        <w:tc>
          <w:tcPr>
            <w:tcW w:w="550" w:type="dxa"/>
            <w:tcBorders>
              <w:top w:val="nil"/>
              <w:left w:val="nil"/>
              <w:bottom w:val="nil"/>
              <w:right w:val="nil"/>
            </w:tcBorders>
            <w:shd w:val="clear" w:color="auto" w:fill="FFFFFF"/>
            <w:tcMar>
              <w:top w:w="0" w:type="dxa"/>
              <w:left w:w="0" w:type="dxa"/>
              <w:bottom w:w="0" w:type="dxa"/>
              <w:right w:w="0" w:type="dxa"/>
            </w:tcMar>
          </w:tcPr>
          <w:p w14:paraId="000000F8" w14:textId="77777777" w:rsidR="001527B5" w:rsidRPr="007F00C7" w:rsidRDefault="00000000">
            <w:pPr>
              <w:pBdr>
                <w:top w:val="none" w:sz="0" w:space="0" w:color="000000"/>
                <w:left w:val="none" w:sz="0" w:space="0" w:color="000000"/>
                <w:bottom w:val="none" w:sz="0" w:space="0" w:color="000000"/>
                <w:right w:val="none" w:sz="0" w:space="0" w:color="000000"/>
              </w:pBdr>
              <w:spacing w:before="100"/>
              <w:ind w:left="100" w:right="100"/>
              <w:jc w:val="right"/>
              <w:rPr>
                <w:rFonts w:ascii="Times New Roman" w:hAnsi="Times New Roman" w:cs="Times New Roman"/>
                <w:sz w:val="20"/>
                <w:szCs w:val="20"/>
              </w:rPr>
            </w:pPr>
            <w:r w:rsidRPr="007F00C7">
              <w:rPr>
                <w:rFonts w:ascii="Times New Roman" w:hAnsi="Times New Roman" w:cs="Times New Roman"/>
                <w:color w:val="000000"/>
                <w:sz w:val="20"/>
                <w:szCs w:val="20"/>
              </w:rPr>
              <w:t>0.34</w:t>
            </w:r>
          </w:p>
        </w:tc>
      </w:tr>
      <w:tr w:rsidR="001410AD" w:rsidRPr="007F00C7" w14:paraId="1B8E9210" w14:textId="77777777" w:rsidTr="001410AD">
        <w:trPr>
          <w:cantSplit/>
          <w:jc w:val="center"/>
        </w:trPr>
        <w:tc>
          <w:tcPr>
            <w:tcW w:w="1530" w:type="dxa"/>
            <w:tcBorders>
              <w:top w:val="nil"/>
              <w:left w:val="nil"/>
              <w:bottom w:val="single" w:sz="12" w:space="0" w:color="auto"/>
              <w:right w:val="nil"/>
            </w:tcBorders>
            <w:shd w:val="clear" w:color="auto" w:fill="FFFFFF"/>
            <w:tcMar>
              <w:top w:w="0" w:type="dxa"/>
              <w:left w:w="0" w:type="dxa"/>
              <w:bottom w:w="0" w:type="dxa"/>
              <w:right w:w="0" w:type="dxa"/>
            </w:tcMar>
          </w:tcPr>
          <w:p w14:paraId="000000F9" w14:textId="77777777" w:rsidR="001527B5" w:rsidRPr="007F00C7" w:rsidRDefault="00000000">
            <w:pPr>
              <w:pBdr>
                <w:top w:val="none" w:sz="0" w:space="0" w:color="000000"/>
                <w:left w:val="none" w:sz="0" w:space="0" w:color="000000"/>
                <w:bottom w:val="none" w:sz="0" w:space="0" w:color="000000"/>
                <w:right w:val="none" w:sz="0" w:space="0" w:color="000000"/>
              </w:pBdr>
              <w:spacing w:before="100"/>
              <w:ind w:left="100" w:right="100"/>
              <w:rPr>
                <w:rFonts w:ascii="Times New Roman" w:hAnsi="Times New Roman" w:cs="Times New Roman"/>
                <w:sz w:val="20"/>
                <w:szCs w:val="20"/>
              </w:rPr>
            </w:pPr>
            <w:r w:rsidRPr="007F00C7">
              <w:rPr>
                <w:rFonts w:ascii="Times New Roman" w:hAnsi="Times New Roman" w:cs="Times New Roman"/>
                <w:color w:val="000000"/>
                <w:sz w:val="20"/>
                <w:szCs w:val="20"/>
              </w:rPr>
              <w:t>Watershed</w:t>
            </w:r>
          </w:p>
        </w:tc>
        <w:tc>
          <w:tcPr>
            <w:tcW w:w="1062" w:type="dxa"/>
            <w:tcBorders>
              <w:top w:val="nil"/>
              <w:left w:val="nil"/>
              <w:bottom w:val="single" w:sz="12" w:space="0" w:color="auto"/>
              <w:right w:val="nil"/>
            </w:tcBorders>
            <w:shd w:val="clear" w:color="auto" w:fill="FFFFFF"/>
            <w:tcMar>
              <w:top w:w="0" w:type="dxa"/>
              <w:left w:w="0" w:type="dxa"/>
              <w:bottom w:w="0" w:type="dxa"/>
              <w:right w:w="0" w:type="dxa"/>
            </w:tcMar>
          </w:tcPr>
          <w:p w14:paraId="000000FA" w14:textId="77777777" w:rsidR="001527B5" w:rsidRPr="007F00C7" w:rsidRDefault="00000000">
            <w:pPr>
              <w:pBdr>
                <w:top w:val="none" w:sz="0" w:space="0" w:color="000000"/>
                <w:left w:val="none" w:sz="0" w:space="0" w:color="000000"/>
                <w:bottom w:val="none" w:sz="0" w:space="0" w:color="000000"/>
                <w:right w:val="none" w:sz="0" w:space="0" w:color="000000"/>
              </w:pBdr>
              <w:spacing w:before="100"/>
              <w:ind w:left="100" w:right="100"/>
              <w:jc w:val="right"/>
              <w:rPr>
                <w:rFonts w:ascii="Times New Roman" w:hAnsi="Times New Roman" w:cs="Times New Roman"/>
                <w:sz w:val="20"/>
                <w:szCs w:val="20"/>
              </w:rPr>
            </w:pPr>
            <w:r w:rsidRPr="007F00C7">
              <w:rPr>
                <w:rFonts w:ascii="Times New Roman" w:hAnsi="Times New Roman" w:cs="Times New Roman"/>
                <w:color w:val="000000"/>
                <w:sz w:val="20"/>
                <w:szCs w:val="20"/>
              </w:rPr>
              <w:t>4,355</w:t>
            </w:r>
          </w:p>
        </w:tc>
        <w:tc>
          <w:tcPr>
            <w:tcW w:w="969" w:type="dxa"/>
            <w:tcBorders>
              <w:top w:val="nil"/>
              <w:left w:val="nil"/>
              <w:bottom w:val="single" w:sz="12" w:space="0" w:color="auto"/>
              <w:right w:val="nil"/>
            </w:tcBorders>
            <w:shd w:val="clear" w:color="auto" w:fill="FFFFFF"/>
            <w:tcMar>
              <w:top w:w="0" w:type="dxa"/>
              <w:left w:w="0" w:type="dxa"/>
              <w:bottom w:w="0" w:type="dxa"/>
              <w:right w:w="0" w:type="dxa"/>
            </w:tcMar>
          </w:tcPr>
          <w:p w14:paraId="000000FB" w14:textId="77777777" w:rsidR="001527B5" w:rsidRPr="007F00C7" w:rsidRDefault="00000000">
            <w:pPr>
              <w:pBdr>
                <w:top w:val="none" w:sz="0" w:space="0" w:color="000000"/>
                <w:left w:val="none" w:sz="0" w:space="0" w:color="000000"/>
                <w:bottom w:val="none" w:sz="0" w:space="0" w:color="000000"/>
                <w:right w:val="none" w:sz="0" w:space="0" w:color="000000"/>
              </w:pBdr>
              <w:spacing w:before="100"/>
              <w:ind w:left="100" w:right="100"/>
              <w:jc w:val="right"/>
              <w:rPr>
                <w:rFonts w:ascii="Times New Roman" w:hAnsi="Times New Roman" w:cs="Times New Roman"/>
                <w:sz w:val="20"/>
                <w:szCs w:val="20"/>
              </w:rPr>
            </w:pPr>
            <w:r w:rsidRPr="007F00C7">
              <w:rPr>
                <w:rFonts w:ascii="Times New Roman" w:hAnsi="Times New Roman" w:cs="Times New Roman"/>
                <w:color w:val="000000"/>
                <w:sz w:val="20"/>
                <w:szCs w:val="20"/>
              </w:rPr>
              <w:t>1,047</w:t>
            </w:r>
          </w:p>
        </w:tc>
        <w:tc>
          <w:tcPr>
            <w:tcW w:w="1091" w:type="dxa"/>
            <w:tcBorders>
              <w:top w:val="nil"/>
              <w:left w:val="nil"/>
              <w:bottom w:val="single" w:sz="12" w:space="0" w:color="auto"/>
              <w:right w:val="nil"/>
            </w:tcBorders>
            <w:shd w:val="clear" w:color="auto" w:fill="FFFFFF"/>
            <w:tcMar>
              <w:top w:w="0" w:type="dxa"/>
              <w:left w:w="0" w:type="dxa"/>
              <w:bottom w:w="0" w:type="dxa"/>
              <w:right w:w="0" w:type="dxa"/>
            </w:tcMar>
          </w:tcPr>
          <w:p w14:paraId="000000FC" w14:textId="77777777" w:rsidR="001527B5" w:rsidRPr="007F00C7" w:rsidRDefault="00000000">
            <w:pPr>
              <w:pBdr>
                <w:top w:val="none" w:sz="0" w:space="0" w:color="000000"/>
                <w:left w:val="none" w:sz="0" w:space="0" w:color="000000"/>
                <w:bottom w:val="none" w:sz="0" w:space="0" w:color="000000"/>
                <w:right w:val="none" w:sz="0" w:space="0" w:color="000000"/>
              </w:pBdr>
              <w:spacing w:before="100"/>
              <w:ind w:left="100" w:right="100"/>
              <w:jc w:val="right"/>
              <w:rPr>
                <w:rFonts w:ascii="Times New Roman" w:hAnsi="Times New Roman" w:cs="Times New Roman"/>
                <w:sz w:val="20"/>
                <w:szCs w:val="20"/>
              </w:rPr>
            </w:pPr>
            <w:r w:rsidRPr="007F00C7">
              <w:rPr>
                <w:rFonts w:ascii="Times New Roman" w:hAnsi="Times New Roman" w:cs="Times New Roman"/>
                <w:color w:val="000000"/>
                <w:sz w:val="20"/>
                <w:szCs w:val="20"/>
              </w:rPr>
              <w:t>0.24</w:t>
            </w:r>
          </w:p>
        </w:tc>
        <w:tc>
          <w:tcPr>
            <w:tcW w:w="838" w:type="dxa"/>
            <w:tcBorders>
              <w:top w:val="nil"/>
              <w:left w:val="nil"/>
              <w:bottom w:val="single" w:sz="12" w:space="0" w:color="auto"/>
              <w:right w:val="nil"/>
            </w:tcBorders>
            <w:shd w:val="clear" w:color="auto" w:fill="FFFFFF"/>
            <w:tcMar>
              <w:top w:w="0" w:type="dxa"/>
              <w:left w:w="0" w:type="dxa"/>
              <w:bottom w:w="0" w:type="dxa"/>
              <w:right w:w="0" w:type="dxa"/>
            </w:tcMar>
          </w:tcPr>
          <w:p w14:paraId="000000FD" w14:textId="77777777" w:rsidR="001527B5" w:rsidRPr="007F00C7" w:rsidRDefault="00000000">
            <w:pPr>
              <w:pBdr>
                <w:top w:val="none" w:sz="0" w:space="0" w:color="000000"/>
                <w:left w:val="none" w:sz="0" w:space="0" w:color="000000"/>
                <w:bottom w:val="none" w:sz="0" w:space="0" w:color="000000"/>
                <w:right w:val="none" w:sz="0" w:space="0" w:color="000000"/>
              </w:pBdr>
              <w:spacing w:before="100"/>
              <w:ind w:left="100" w:right="100"/>
              <w:jc w:val="right"/>
              <w:rPr>
                <w:rFonts w:ascii="Times New Roman" w:hAnsi="Times New Roman" w:cs="Times New Roman"/>
                <w:sz w:val="20"/>
                <w:szCs w:val="20"/>
              </w:rPr>
            </w:pPr>
            <w:r w:rsidRPr="007F00C7">
              <w:rPr>
                <w:rFonts w:ascii="Times New Roman" w:hAnsi="Times New Roman" w:cs="Times New Roman"/>
                <w:color w:val="000000"/>
                <w:sz w:val="20"/>
                <w:szCs w:val="20"/>
              </w:rPr>
              <w:t>0.16</w:t>
            </w:r>
          </w:p>
        </w:tc>
        <w:tc>
          <w:tcPr>
            <w:tcW w:w="990" w:type="dxa"/>
            <w:tcBorders>
              <w:top w:val="nil"/>
              <w:left w:val="nil"/>
              <w:bottom w:val="single" w:sz="12" w:space="0" w:color="auto"/>
              <w:right w:val="nil"/>
            </w:tcBorders>
            <w:shd w:val="clear" w:color="auto" w:fill="FFFFFF"/>
            <w:tcMar>
              <w:top w:w="0" w:type="dxa"/>
              <w:left w:w="0" w:type="dxa"/>
              <w:bottom w:w="0" w:type="dxa"/>
              <w:right w:w="0" w:type="dxa"/>
            </w:tcMar>
          </w:tcPr>
          <w:p w14:paraId="000000FE" w14:textId="77777777" w:rsidR="001527B5" w:rsidRPr="007F00C7" w:rsidRDefault="00000000">
            <w:pPr>
              <w:pBdr>
                <w:top w:val="none" w:sz="0" w:space="0" w:color="000000"/>
                <w:left w:val="none" w:sz="0" w:space="0" w:color="000000"/>
                <w:bottom w:val="none" w:sz="0" w:space="0" w:color="000000"/>
                <w:right w:val="none" w:sz="0" w:space="0" w:color="000000"/>
              </w:pBdr>
              <w:spacing w:before="100"/>
              <w:ind w:left="100" w:right="100"/>
              <w:jc w:val="right"/>
              <w:rPr>
                <w:rFonts w:ascii="Times New Roman" w:hAnsi="Times New Roman" w:cs="Times New Roman"/>
                <w:sz w:val="20"/>
                <w:szCs w:val="20"/>
              </w:rPr>
            </w:pPr>
            <w:r w:rsidRPr="007F00C7">
              <w:rPr>
                <w:rFonts w:ascii="Times New Roman" w:hAnsi="Times New Roman" w:cs="Times New Roman"/>
                <w:color w:val="000000"/>
                <w:sz w:val="20"/>
                <w:szCs w:val="20"/>
              </w:rPr>
              <w:t>0.16</w:t>
            </w:r>
          </w:p>
        </w:tc>
        <w:tc>
          <w:tcPr>
            <w:tcW w:w="810" w:type="dxa"/>
            <w:tcBorders>
              <w:top w:val="nil"/>
              <w:left w:val="nil"/>
              <w:bottom w:val="single" w:sz="12" w:space="0" w:color="auto"/>
              <w:right w:val="nil"/>
            </w:tcBorders>
            <w:shd w:val="clear" w:color="auto" w:fill="FFFFFF"/>
            <w:tcMar>
              <w:top w:w="0" w:type="dxa"/>
              <w:left w:w="0" w:type="dxa"/>
              <w:bottom w:w="0" w:type="dxa"/>
              <w:right w:w="0" w:type="dxa"/>
            </w:tcMar>
          </w:tcPr>
          <w:p w14:paraId="000000FF" w14:textId="77777777" w:rsidR="001527B5" w:rsidRPr="007F00C7" w:rsidRDefault="00000000">
            <w:pPr>
              <w:pBdr>
                <w:top w:val="none" w:sz="0" w:space="0" w:color="000000"/>
                <w:left w:val="none" w:sz="0" w:space="0" w:color="000000"/>
                <w:bottom w:val="none" w:sz="0" w:space="0" w:color="000000"/>
                <w:right w:val="none" w:sz="0" w:space="0" w:color="000000"/>
              </w:pBdr>
              <w:spacing w:before="100"/>
              <w:ind w:left="100" w:right="100"/>
              <w:jc w:val="right"/>
              <w:rPr>
                <w:rFonts w:ascii="Times New Roman" w:hAnsi="Times New Roman" w:cs="Times New Roman"/>
                <w:sz w:val="20"/>
                <w:szCs w:val="20"/>
              </w:rPr>
            </w:pPr>
            <w:r w:rsidRPr="007F00C7">
              <w:rPr>
                <w:rFonts w:ascii="Times New Roman" w:hAnsi="Times New Roman" w:cs="Times New Roman"/>
                <w:color w:val="000000"/>
                <w:sz w:val="20"/>
                <w:szCs w:val="20"/>
              </w:rPr>
              <w:t>0.85</w:t>
            </w:r>
          </w:p>
        </w:tc>
        <w:tc>
          <w:tcPr>
            <w:tcW w:w="900" w:type="dxa"/>
            <w:tcBorders>
              <w:top w:val="nil"/>
              <w:left w:val="nil"/>
              <w:bottom w:val="single" w:sz="12" w:space="0" w:color="auto"/>
              <w:right w:val="nil"/>
            </w:tcBorders>
            <w:shd w:val="clear" w:color="auto" w:fill="FFFFFF"/>
            <w:tcMar>
              <w:top w:w="0" w:type="dxa"/>
              <w:left w:w="0" w:type="dxa"/>
              <w:bottom w:w="0" w:type="dxa"/>
              <w:right w:w="0" w:type="dxa"/>
            </w:tcMar>
          </w:tcPr>
          <w:p w14:paraId="00000100" w14:textId="77777777" w:rsidR="001527B5" w:rsidRPr="007F00C7" w:rsidRDefault="00000000">
            <w:pPr>
              <w:pBdr>
                <w:top w:val="none" w:sz="0" w:space="0" w:color="000000"/>
                <w:left w:val="none" w:sz="0" w:space="0" w:color="000000"/>
                <w:bottom w:val="none" w:sz="0" w:space="0" w:color="000000"/>
                <w:right w:val="none" w:sz="0" w:space="0" w:color="000000"/>
              </w:pBdr>
              <w:spacing w:before="100"/>
              <w:ind w:left="100" w:right="100"/>
              <w:jc w:val="right"/>
              <w:rPr>
                <w:rFonts w:ascii="Times New Roman" w:hAnsi="Times New Roman" w:cs="Times New Roman"/>
                <w:sz w:val="20"/>
                <w:szCs w:val="20"/>
              </w:rPr>
            </w:pPr>
            <w:r w:rsidRPr="007F00C7">
              <w:rPr>
                <w:rFonts w:ascii="Times New Roman" w:hAnsi="Times New Roman" w:cs="Times New Roman"/>
                <w:color w:val="000000"/>
                <w:sz w:val="20"/>
                <w:szCs w:val="20"/>
              </w:rPr>
              <w:t>0.47</w:t>
            </w:r>
          </w:p>
        </w:tc>
        <w:tc>
          <w:tcPr>
            <w:tcW w:w="900" w:type="dxa"/>
            <w:tcBorders>
              <w:top w:val="nil"/>
              <w:left w:val="nil"/>
              <w:bottom w:val="single" w:sz="12" w:space="0" w:color="auto"/>
              <w:right w:val="nil"/>
            </w:tcBorders>
            <w:shd w:val="clear" w:color="auto" w:fill="FFFFFF"/>
            <w:tcMar>
              <w:top w:w="0" w:type="dxa"/>
              <w:left w:w="0" w:type="dxa"/>
              <w:bottom w:w="0" w:type="dxa"/>
              <w:right w:w="0" w:type="dxa"/>
            </w:tcMar>
          </w:tcPr>
          <w:p w14:paraId="00000101" w14:textId="77777777" w:rsidR="001527B5" w:rsidRPr="007F00C7" w:rsidRDefault="00000000">
            <w:pPr>
              <w:pBdr>
                <w:top w:val="none" w:sz="0" w:space="0" w:color="000000"/>
                <w:left w:val="none" w:sz="0" w:space="0" w:color="000000"/>
                <w:bottom w:val="none" w:sz="0" w:space="0" w:color="000000"/>
                <w:right w:val="none" w:sz="0" w:space="0" w:color="000000"/>
              </w:pBdr>
              <w:spacing w:before="100"/>
              <w:ind w:left="100" w:right="100"/>
              <w:jc w:val="right"/>
              <w:rPr>
                <w:rFonts w:ascii="Times New Roman" w:hAnsi="Times New Roman" w:cs="Times New Roman"/>
                <w:sz w:val="20"/>
                <w:szCs w:val="20"/>
              </w:rPr>
            </w:pPr>
            <w:r w:rsidRPr="007F00C7">
              <w:rPr>
                <w:rFonts w:ascii="Times New Roman" w:hAnsi="Times New Roman" w:cs="Times New Roman"/>
                <w:color w:val="000000"/>
                <w:sz w:val="20"/>
                <w:szCs w:val="20"/>
              </w:rPr>
              <w:t>2.99</w:t>
            </w:r>
          </w:p>
        </w:tc>
        <w:tc>
          <w:tcPr>
            <w:tcW w:w="810" w:type="dxa"/>
            <w:tcBorders>
              <w:top w:val="nil"/>
              <w:left w:val="nil"/>
              <w:bottom w:val="single" w:sz="12" w:space="0" w:color="auto"/>
              <w:right w:val="nil"/>
            </w:tcBorders>
            <w:shd w:val="clear" w:color="auto" w:fill="FFFFFF"/>
            <w:tcMar>
              <w:top w:w="0" w:type="dxa"/>
              <w:left w:w="0" w:type="dxa"/>
              <w:bottom w:w="0" w:type="dxa"/>
              <w:right w:w="0" w:type="dxa"/>
            </w:tcMar>
          </w:tcPr>
          <w:p w14:paraId="00000102" w14:textId="77777777" w:rsidR="001527B5" w:rsidRPr="007F00C7" w:rsidRDefault="00000000">
            <w:pPr>
              <w:pBdr>
                <w:top w:val="none" w:sz="0" w:space="0" w:color="000000"/>
                <w:left w:val="none" w:sz="0" w:space="0" w:color="000000"/>
                <w:bottom w:val="none" w:sz="0" w:space="0" w:color="000000"/>
                <w:right w:val="none" w:sz="0" w:space="0" w:color="000000"/>
              </w:pBdr>
              <w:spacing w:before="100"/>
              <w:ind w:left="100" w:right="100"/>
              <w:jc w:val="right"/>
              <w:rPr>
                <w:rFonts w:ascii="Times New Roman" w:hAnsi="Times New Roman" w:cs="Times New Roman"/>
                <w:sz w:val="20"/>
                <w:szCs w:val="20"/>
              </w:rPr>
            </w:pPr>
            <w:r w:rsidRPr="007F00C7">
              <w:rPr>
                <w:rFonts w:ascii="Times New Roman" w:hAnsi="Times New Roman" w:cs="Times New Roman"/>
                <w:color w:val="000000"/>
                <w:sz w:val="20"/>
                <w:szCs w:val="20"/>
              </w:rPr>
              <w:t>1.93</w:t>
            </w:r>
          </w:p>
        </w:tc>
        <w:tc>
          <w:tcPr>
            <w:tcW w:w="810" w:type="dxa"/>
            <w:tcBorders>
              <w:top w:val="nil"/>
              <w:left w:val="nil"/>
              <w:bottom w:val="single" w:sz="12" w:space="0" w:color="auto"/>
              <w:right w:val="nil"/>
            </w:tcBorders>
            <w:shd w:val="clear" w:color="auto" w:fill="FFFFFF"/>
            <w:tcMar>
              <w:top w:w="0" w:type="dxa"/>
              <w:left w:w="0" w:type="dxa"/>
              <w:bottom w:w="0" w:type="dxa"/>
              <w:right w:w="0" w:type="dxa"/>
            </w:tcMar>
          </w:tcPr>
          <w:p w14:paraId="00000103" w14:textId="77777777" w:rsidR="001527B5" w:rsidRPr="007F00C7" w:rsidRDefault="00000000">
            <w:pPr>
              <w:pBdr>
                <w:top w:val="none" w:sz="0" w:space="0" w:color="000000"/>
                <w:left w:val="none" w:sz="0" w:space="0" w:color="000000"/>
                <w:bottom w:val="none" w:sz="0" w:space="0" w:color="000000"/>
                <w:right w:val="none" w:sz="0" w:space="0" w:color="000000"/>
              </w:pBdr>
              <w:spacing w:before="100"/>
              <w:ind w:left="100" w:right="100"/>
              <w:jc w:val="right"/>
              <w:rPr>
                <w:rFonts w:ascii="Times New Roman" w:hAnsi="Times New Roman" w:cs="Times New Roman"/>
                <w:sz w:val="20"/>
                <w:szCs w:val="20"/>
              </w:rPr>
            </w:pPr>
            <w:r w:rsidRPr="007F00C7">
              <w:rPr>
                <w:rFonts w:ascii="Times New Roman" w:hAnsi="Times New Roman" w:cs="Times New Roman"/>
                <w:color w:val="000000"/>
                <w:sz w:val="20"/>
                <w:szCs w:val="20"/>
              </w:rPr>
              <w:t>3.56</w:t>
            </w:r>
          </w:p>
        </w:tc>
        <w:tc>
          <w:tcPr>
            <w:tcW w:w="989" w:type="dxa"/>
            <w:tcBorders>
              <w:top w:val="nil"/>
              <w:left w:val="nil"/>
              <w:bottom w:val="single" w:sz="12" w:space="0" w:color="auto"/>
              <w:right w:val="nil"/>
            </w:tcBorders>
            <w:shd w:val="clear" w:color="auto" w:fill="FFFFFF"/>
            <w:tcMar>
              <w:top w:w="0" w:type="dxa"/>
              <w:left w:w="0" w:type="dxa"/>
              <w:bottom w:w="0" w:type="dxa"/>
              <w:right w:w="0" w:type="dxa"/>
            </w:tcMar>
          </w:tcPr>
          <w:p w14:paraId="00000104" w14:textId="77777777" w:rsidR="001527B5" w:rsidRPr="007F00C7" w:rsidRDefault="00000000">
            <w:pPr>
              <w:pBdr>
                <w:top w:val="none" w:sz="0" w:space="0" w:color="000000"/>
                <w:left w:val="none" w:sz="0" w:space="0" w:color="000000"/>
                <w:bottom w:val="none" w:sz="0" w:space="0" w:color="000000"/>
                <w:right w:val="none" w:sz="0" w:space="0" w:color="000000"/>
              </w:pBdr>
              <w:spacing w:before="100"/>
              <w:ind w:left="100" w:right="100"/>
              <w:jc w:val="right"/>
              <w:rPr>
                <w:rFonts w:ascii="Times New Roman" w:hAnsi="Times New Roman" w:cs="Times New Roman"/>
                <w:sz w:val="20"/>
                <w:szCs w:val="20"/>
              </w:rPr>
            </w:pPr>
            <w:r w:rsidRPr="007F00C7">
              <w:rPr>
                <w:rFonts w:ascii="Times New Roman" w:hAnsi="Times New Roman" w:cs="Times New Roman"/>
                <w:color w:val="000000"/>
                <w:sz w:val="20"/>
                <w:szCs w:val="20"/>
              </w:rPr>
              <w:t>0.56</w:t>
            </w:r>
          </w:p>
        </w:tc>
        <w:tc>
          <w:tcPr>
            <w:tcW w:w="711" w:type="dxa"/>
            <w:tcBorders>
              <w:top w:val="nil"/>
              <w:left w:val="nil"/>
              <w:bottom w:val="single" w:sz="12" w:space="0" w:color="auto"/>
              <w:right w:val="nil"/>
            </w:tcBorders>
            <w:shd w:val="clear" w:color="auto" w:fill="FFFFFF"/>
            <w:tcMar>
              <w:top w:w="0" w:type="dxa"/>
              <w:left w:w="0" w:type="dxa"/>
              <w:bottom w:w="0" w:type="dxa"/>
              <w:right w:w="0" w:type="dxa"/>
            </w:tcMar>
          </w:tcPr>
          <w:p w14:paraId="00000105" w14:textId="77777777" w:rsidR="001527B5" w:rsidRPr="007F00C7" w:rsidRDefault="00000000">
            <w:pPr>
              <w:pBdr>
                <w:top w:val="none" w:sz="0" w:space="0" w:color="000000"/>
                <w:left w:val="none" w:sz="0" w:space="0" w:color="000000"/>
                <w:bottom w:val="none" w:sz="0" w:space="0" w:color="000000"/>
                <w:right w:val="none" w:sz="0" w:space="0" w:color="000000"/>
              </w:pBdr>
              <w:spacing w:before="100"/>
              <w:ind w:left="100" w:right="100"/>
              <w:jc w:val="right"/>
              <w:rPr>
                <w:rFonts w:ascii="Times New Roman" w:hAnsi="Times New Roman" w:cs="Times New Roman"/>
                <w:sz w:val="20"/>
                <w:szCs w:val="20"/>
              </w:rPr>
            </w:pPr>
            <w:r w:rsidRPr="007F00C7">
              <w:rPr>
                <w:rFonts w:ascii="Times New Roman" w:hAnsi="Times New Roman" w:cs="Times New Roman"/>
                <w:color w:val="000000"/>
                <w:sz w:val="20"/>
                <w:szCs w:val="20"/>
              </w:rPr>
              <w:t>0.16</w:t>
            </w:r>
          </w:p>
        </w:tc>
        <w:tc>
          <w:tcPr>
            <w:tcW w:w="550" w:type="dxa"/>
            <w:tcBorders>
              <w:top w:val="nil"/>
              <w:left w:val="nil"/>
              <w:bottom w:val="single" w:sz="12" w:space="0" w:color="auto"/>
              <w:right w:val="nil"/>
            </w:tcBorders>
            <w:shd w:val="clear" w:color="auto" w:fill="FFFFFF"/>
            <w:tcMar>
              <w:top w:w="0" w:type="dxa"/>
              <w:left w:w="0" w:type="dxa"/>
              <w:bottom w:w="0" w:type="dxa"/>
              <w:right w:w="0" w:type="dxa"/>
            </w:tcMar>
          </w:tcPr>
          <w:p w14:paraId="00000106" w14:textId="77777777" w:rsidR="001527B5" w:rsidRPr="007F00C7" w:rsidRDefault="00000000">
            <w:pPr>
              <w:pBdr>
                <w:top w:val="none" w:sz="0" w:space="0" w:color="000000"/>
                <w:left w:val="none" w:sz="0" w:space="0" w:color="000000"/>
                <w:bottom w:val="none" w:sz="0" w:space="0" w:color="000000"/>
                <w:right w:val="none" w:sz="0" w:space="0" w:color="000000"/>
              </w:pBdr>
              <w:spacing w:before="100"/>
              <w:ind w:left="100" w:right="100"/>
              <w:jc w:val="right"/>
              <w:rPr>
                <w:rFonts w:ascii="Times New Roman" w:hAnsi="Times New Roman" w:cs="Times New Roman"/>
                <w:sz w:val="20"/>
                <w:szCs w:val="20"/>
              </w:rPr>
            </w:pPr>
            <w:r w:rsidRPr="007F00C7">
              <w:rPr>
                <w:rFonts w:ascii="Times New Roman" w:hAnsi="Times New Roman" w:cs="Times New Roman"/>
                <w:color w:val="000000"/>
                <w:sz w:val="20"/>
                <w:szCs w:val="20"/>
              </w:rPr>
              <w:t>0.23</w:t>
            </w:r>
          </w:p>
        </w:tc>
      </w:tr>
    </w:tbl>
    <w:p w14:paraId="00000107" w14:textId="243D7417" w:rsidR="001527B5" w:rsidRPr="007F00C7" w:rsidRDefault="00CE44C8" w:rsidP="00CE44C8">
      <w:pPr>
        <w:spacing w:after="0"/>
        <w:rPr>
          <w:sz w:val="20"/>
          <w:szCs w:val="20"/>
        </w:rPr>
        <w:sectPr w:rsidR="001527B5" w:rsidRPr="007F00C7">
          <w:pgSz w:w="15840" w:h="12240" w:orient="landscape"/>
          <w:pgMar w:top="1440" w:right="1440" w:bottom="1440" w:left="1440" w:header="720" w:footer="720" w:gutter="0"/>
          <w:lnNumType w:countBy="1" w:restart="continuous"/>
          <w:cols w:space="720"/>
        </w:sectPr>
      </w:pPr>
      <w:r w:rsidRPr="007F00C7">
        <w:rPr>
          <w:sz w:val="20"/>
          <w:szCs w:val="20"/>
        </w:rPr>
        <w:t>LMF = local maximum filter</w:t>
      </w:r>
      <w:r w:rsidR="001410AD" w:rsidRPr="007F00C7">
        <w:rPr>
          <w:sz w:val="20"/>
          <w:szCs w:val="20"/>
        </w:rPr>
        <w:t>; OR = omission rate; CR = commission rate</w:t>
      </w:r>
      <w:r w:rsidRPr="007F00C7">
        <w:rPr>
          <w:sz w:val="20"/>
          <w:szCs w:val="20"/>
        </w:rPr>
        <w:br w:type="page"/>
      </w:r>
    </w:p>
    <w:p w14:paraId="00000108" w14:textId="77777777" w:rsidR="001527B5" w:rsidRPr="007F00C7" w:rsidRDefault="00000000">
      <w:pPr>
        <w:pBdr>
          <w:top w:val="nil"/>
          <w:left w:val="nil"/>
          <w:bottom w:val="nil"/>
          <w:right w:val="nil"/>
          <w:between w:val="nil"/>
        </w:pBdr>
        <w:spacing w:before="180" w:after="0" w:line="480" w:lineRule="auto"/>
        <w:rPr>
          <w:color w:val="000000"/>
        </w:rPr>
      </w:pPr>
      <w:r w:rsidRPr="007F00C7">
        <w:rPr>
          <w:b/>
          <w:color w:val="000000"/>
        </w:rPr>
        <w:lastRenderedPageBreak/>
        <w:t>Table 2.</w:t>
      </w:r>
      <w:r w:rsidRPr="007F00C7">
        <w:rPr>
          <w:color w:val="000000"/>
        </w:rPr>
        <w:t xml:space="preserve"> Classification performance metrics by species. </w:t>
      </w:r>
      <w:r w:rsidRPr="007F00C7">
        <w:rPr>
          <w:i/>
          <w:color w:val="000000"/>
        </w:rPr>
        <w:t>F1</w:t>
      </w:r>
      <w:r w:rsidRPr="007F00C7">
        <w:rPr>
          <w:color w:val="000000"/>
        </w:rPr>
        <w:t xml:space="preserve"> is a proportion representing the harmonic mean of precision (the proportion of true positives among all predicted species assignments) and recall (the proportion of predicted assignments to a species out of all trees that truly belong to that species).</w:t>
      </w:r>
    </w:p>
    <w:tbl>
      <w:tblPr>
        <w:tblStyle w:val="a3"/>
        <w:tblW w:w="936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70"/>
        <w:gridCol w:w="1170"/>
        <w:gridCol w:w="1170"/>
        <w:gridCol w:w="1170"/>
        <w:gridCol w:w="1170"/>
        <w:gridCol w:w="1170"/>
        <w:gridCol w:w="1170"/>
        <w:gridCol w:w="1170"/>
      </w:tblGrid>
      <w:tr w:rsidR="001527B5" w:rsidRPr="007F00C7" w14:paraId="47863186" w14:textId="77777777" w:rsidTr="003070CD">
        <w:trPr>
          <w:cantSplit/>
          <w:tblHeader/>
          <w:jc w:val="center"/>
        </w:trPr>
        <w:tc>
          <w:tcPr>
            <w:tcW w:w="1170" w:type="dxa"/>
            <w:tcBorders>
              <w:top w:val="single" w:sz="12" w:space="0" w:color="auto"/>
              <w:left w:val="nil"/>
              <w:bottom w:val="single" w:sz="8" w:space="0" w:color="auto"/>
              <w:right w:val="nil"/>
            </w:tcBorders>
            <w:shd w:val="clear" w:color="auto" w:fill="FFFFFF"/>
            <w:tcMar>
              <w:top w:w="0" w:type="dxa"/>
              <w:left w:w="0" w:type="dxa"/>
              <w:bottom w:w="0" w:type="dxa"/>
              <w:right w:w="0" w:type="dxa"/>
            </w:tcMar>
          </w:tcPr>
          <w:p w14:paraId="00000109" w14:textId="77777777" w:rsidR="001527B5" w:rsidRPr="007F00C7" w:rsidRDefault="00000000" w:rsidP="0056410C">
            <w:pPr>
              <w:pBdr>
                <w:top w:val="none" w:sz="0" w:space="0" w:color="000000"/>
                <w:left w:val="none" w:sz="0" w:space="0" w:color="000000"/>
                <w:bottom w:val="none" w:sz="0" w:space="0" w:color="000000"/>
                <w:right w:val="none" w:sz="0" w:space="0" w:color="000000"/>
              </w:pBdr>
              <w:spacing w:before="100"/>
              <w:ind w:left="100" w:right="100"/>
              <w:rPr>
                <w:rFonts w:ascii="Times New Roman" w:hAnsi="Times New Roman" w:cs="Times New Roman"/>
              </w:rPr>
            </w:pPr>
            <w:r w:rsidRPr="007F00C7">
              <w:rPr>
                <w:rFonts w:ascii="Times New Roman" w:hAnsi="Times New Roman" w:cs="Times New Roman"/>
                <w:color w:val="000000"/>
                <w:sz w:val="20"/>
                <w:szCs w:val="20"/>
              </w:rPr>
              <w:t>Class</w:t>
            </w:r>
          </w:p>
        </w:tc>
        <w:tc>
          <w:tcPr>
            <w:tcW w:w="1170" w:type="dxa"/>
            <w:tcBorders>
              <w:top w:val="single" w:sz="12" w:space="0" w:color="auto"/>
              <w:left w:val="nil"/>
              <w:bottom w:val="single" w:sz="8" w:space="0" w:color="auto"/>
              <w:right w:val="nil"/>
            </w:tcBorders>
            <w:shd w:val="clear" w:color="auto" w:fill="FFFFFF"/>
            <w:tcMar>
              <w:top w:w="0" w:type="dxa"/>
              <w:left w:w="0" w:type="dxa"/>
              <w:bottom w:w="0" w:type="dxa"/>
              <w:right w:w="0" w:type="dxa"/>
            </w:tcMar>
          </w:tcPr>
          <w:p w14:paraId="0000010A" w14:textId="77777777" w:rsidR="001527B5" w:rsidRPr="007F00C7" w:rsidRDefault="00000000" w:rsidP="0056410C">
            <w:pPr>
              <w:pBdr>
                <w:top w:val="none" w:sz="0" w:space="0" w:color="000000"/>
                <w:left w:val="none" w:sz="0" w:space="0" w:color="000000"/>
                <w:bottom w:val="none" w:sz="0" w:space="0" w:color="000000"/>
                <w:right w:val="none" w:sz="0" w:space="0" w:color="000000"/>
              </w:pBdr>
              <w:spacing w:before="100"/>
              <w:ind w:left="100" w:right="100"/>
              <w:jc w:val="right"/>
              <w:rPr>
                <w:rFonts w:ascii="Times New Roman" w:hAnsi="Times New Roman" w:cs="Times New Roman"/>
              </w:rPr>
            </w:pPr>
            <w:r w:rsidRPr="007F00C7">
              <w:rPr>
                <w:rFonts w:ascii="Times New Roman" w:hAnsi="Times New Roman" w:cs="Times New Roman"/>
                <w:color w:val="000000"/>
                <w:sz w:val="20"/>
                <w:szCs w:val="20"/>
              </w:rPr>
              <w:t>Sensitivity</w:t>
            </w:r>
          </w:p>
        </w:tc>
        <w:tc>
          <w:tcPr>
            <w:tcW w:w="1170" w:type="dxa"/>
            <w:tcBorders>
              <w:top w:val="single" w:sz="12" w:space="0" w:color="auto"/>
              <w:left w:val="nil"/>
              <w:bottom w:val="single" w:sz="8" w:space="0" w:color="auto"/>
              <w:right w:val="nil"/>
            </w:tcBorders>
            <w:shd w:val="clear" w:color="auto" w:fill="FFFFFF"/>
            <w:tcMar>
              <w:top w:w="0" w:type="dxa"/>
              <w:left w:w="0" w:type="dxa"/>
              <w:bottom w:w="0" w:type="dxa"/>
              <w:right w:w="0" w:type="dxa"/>
            </w:tcMar>
          </w:tcPr>
          <w:p w14:paraId="0000010B" w14:textId="77777777" w:rsidR="001527B5" w:rsidRPr="007F00C7" w:rsidRDefault="00000000" w:rsidP="0056410C">
            <w:pPr>
              <w:pBdr>
                <w:top w:val="none" w:sz="0" w:space="0" w:color="000000"/>
                <w:left w:val="none" w:sz="0" w:space="0" w:color="000000"/>
                <w:bottom w:val="none" w:sz="0" w:space="0" w:color="000000"/>
                <w:right w:val="none" w:sz="0" w:space="0" w:color="000000"/>
              </w:pBdr>
              <w:spacing w:before="100"/>
              <w:ind w:left="100" w:right="100"/>
              <w:jc w:val="right"/>
              <w:rPr>
                <w:rFonts w:ascii="Times New Roman" w:hAnsi="Times New Roman" w:cs="Times New Roman"/>
              </w:rPr>
            </w:pPr>
            <w:r w:rsidRPr="007F00C7">
              <w:rPr>
                <w:rFonts w:ascii="Times New Roman" w:hAnsi="Times New Roman" w:cs="Times New Roman"/>
                <w:color w:val="000000"/>
                <w:sz w:val="20"/>
                <w:szCs w:val="20"/>
              </w:rPr>
              <w:t>Specificity</w:t>
            </w:r>
          </w:p>
        </w:tc>
        <w:tc>
          <w:tcPr>
            <w:tcW w:w="1170" w:type="dxa"/>
            <w:tcBorders>
              <w:top w:val="single" w:sz="12" w:space="0" w:color="auto"/>
              <w:left w:val="nil"/>
              <w:bottom w:val="single" w:sz="8" w:space="0" w:color="auto"/>
              <w:right w:val="nil"/>
            </w:tcBorders>
            <w:shd w:val="clear" w:color="auto" w:fill="FFFFFF"/>
            <w:tcMar>
              <w:top w:w="0" w:type="dxa"/>
              <w:left w:w="0" w:type="dxa"/>
              <w:bottom w:w="0" w:type="dxa"/>
              <w:right w:w="0" w:type="dxa"/>
            </w:tcMar>
          </w:tcPr>
          <w:p w14:paraId="0000010C" w14:textId="77777777" w:rsidR="001527B5" w:rsidRPr="007F00C7" w:rsidRDefault="00000000" w:rsidP="0056410C">
            <w:pPr>
              <w:pBdr>
                <w:top w:val="none" w:sz="0" w:space="0" w:color="000000"/>
                <w:left w:val="none" w:sz="0" w:space="0" w:color="000000"/>
                <w:bottom w:val="none" w:sz="0" w:space="0" w:color="000000"/>
                <w:right w:val="none" w:sz="0" w:space="0" w:color="000000"/>
              </w:pBdr>
              <w:spacing w:before="100"/>
              <w:ind w:left="100" w:right="100"/>
              <w:jc w:val="right"/>
              <w:rPr>
                <w:rFonts w:ascii="Times New Roman" w:hAnsi="Times New Roman" w:cs="Times New Roman"/>
              </w:rPr>
            </w:pPr>
            <w:r w:rsidRPr="007F00C7">
              <w:rPr>
                <w:rFonts w:ascii="Times New Roman" w:hAnsi="Times New Roman" w:cs="Times New Roman"/>
                <w:color w:val="000000"/>
                <w:sz w:val="20"/>
                <w:szCs w:val="20"/>
              </w:rPr>
              <w:t>Precision</w:t>
            </w:r>
          </w:p>
        </w:tc>
        <w:tc>
          <w:tcPr>
            <w:tcW w:w="1170" w:type="dxa"/>
            <w:tcBorders>
              <w:top w:val="single" w:sz="12" w:space="0" w:color="auto"/>
              <w:left w:val="nil"/>
              <w:bottom w:val="single" w:sz="8" w:space="0" w:color="auto"/>
              <w:right w:val="nil"/>
            </w:tcBorders>
            <w:shd w:val="clear" w:color="auto" w:fill="FFFFFF"/>
            <w:tcMar>
              <w:top w:w="0" w:type="dxa"/>
              <w:left w:w="0" w:type="dxa"/>
              <w:bottom w:w="0" w:type="dxa"/>
              <w:right w:w="0" w:type="dxa"/>
            </w:tcMar>
          </w:tcPr>
          <w:p w14:paraId="0000010D" w14:textId="77777777" w:rsidR="001527B5" w:rsidRPr="007F00C7" w:rsidRDefault="00000000" w:rsidP="0056410C">
            <w:pPr>
              <w:pBdr>
                <w:top w:val="none" w:sz="0" w:space="0" w:color="000000"/>
                <w:left w:val="none" w:sz="0" w:space="0" w:color="000000"/>
                <w:bottom w:val="none" w:sz="0" w:space="0" w:color="000000"/>
                <w:right w:val="none" w:sz="0" w:space="0" w:color="000000"/>
              </w:pBdr>
              <w:spacing w:before="100"/>
              <w:ind w:left="100" w:right="100"/>
              <w:jc w:val="right"/>
              <w:rPr>
                <w:rFonts w:ascii="Times New Roman" w:hAnsi="Times New Roman" w:cs="Times New Roman"/>
              </w:rPr>
            </w:pPr>
            <w:r w:rsidRPr="007F00C7">
              <w:rPr>
                <w:rFonts w:ascii="Times New Roman" w:hAnsi="Times New Roman" w:cs="Times New Roman"/>
                <w:color w:val="000000"/>
                <w:sz w:val="20"/>
                <w:szCs w:val="20"/>
              </w:rPr>
              <w:t>Recall</w:t>
            </w:r>
          </w:p>
        </w:tc>
        <w:tc>
          <w:tcPr>
            <w:tcW w:w="1170" w:type="dxa"/>
            <w:tcBorders>
              <w:top w:val="single" w:sz="12" w:space="0" w:color="auto"/>
              <w:left w:val="nil"/>
              <w:bottom w:val="single" w:sz="8" w:space="0" w:color="auto"/>
              <w:right w:val="nil"/>
            </w:tcBorders>
            <w:shd w:val="clear" w:color="auto" w:fill="FFFFFF"/>
            <w:tcMar>
              <w:top w:w="0" w:type="dxa"/>
              <w:left w:w="0" w:type="dxa"/>
              <w:bottom w:w="0" w:type="dxa"/>
              <w:right w:w="0" w:type="dxa"/>
            </w:tcMar>
          </w:tcPr>
          <w:p w14:paraId="0000010E" w14:textId="77777777" w:rsidR="001527B5" w:rsidRPr="007F00C7" w:rsidRDefault="00000000" w:rsidP="0056410C">
            <w:pPr>
              <w:pBdr>
                <w:top w:val="none" w:sz="0" w:space="0" w:color="000000"/>
                <w:left w:val="none" w:sz="0" w:space="0" w:color="000000"/>
                <w:bottom w:val="none" w:sz="0" w:space="0" w:color="000000"/>
                <w:right w:val="none" w:sz="0" w:space="0" w:color="000000"/>
              </w:pBdr>
              <w:spacing w:before="100"/>
              <w:ind w:left="100" w:right="100"/>
              <w:jc w:val="right"/>
              <w:rPr>
                <w:rFonts w:ascii="Times New Roman" w:hAnsi="Times New Roman" w:cs="Times New Roman"/>
              </w:rPr>
            </w:pPr>
            <w:r w:rsidRPr="007F00C7">
              <w:rPr>
                <w:rFonts w:ascii="Times New Roman" w:hAnsi="Times New Roman" w:cs="Times New Roman"/>
                <w:color w:val="000000"/>
                <w:sz w:val="20"/>
                <w:szCs w:val="20"/>
              </w:rPr>
              <w:t>F1</w:t>
            </w:r>
          </w:p>
        </w:tc>
        <w:tc>
          <w:tcPr>
            <w:tcW w:w="1170" w:type="dxa"/>
            <w:tcBorders>
              <w:top w:val="single" w:sz="12" w:space="0" w:color="auto"/>
              <w:left w:val="nil"/>
              <w:bottom w:val="single" w:sz="8" w:space="0" w:color="auto"/>
              <w:right w:val="nil"/>
            </w:tcBorders>
            <w:shd w:val="clear" w:color="auto" w:fill="FFFFFF"/>
            <w:tcMar>
              <w:top w:w="0" w:type="dxa"/>
              <w:left w:w="0" w:type="dxa"/>
              <w:bottom w:w="0" w:type="dxa"/>
              <w:right w:w="0" w:type="dxa"/>
            </w:tcMar>
          </w:tcPr>
          <w:p w14:paraId="00000110" w14:textId="0E535034" w:rsidR="001527B5" w:rsidRPr="007F00C7" w:rsidRDefault="00000000" w:rsidP="0056410C">
            <w:pPr>
              <w:pBdr>
                <w:top w:val="none" w:sz="0" w:space="0" w:color="000000"/>
                <w:left w:val="none" w:sz="0" w:space="0" w:color="000000"/>
                <w:bottom w:val="none" w:sz="0" w:space="0" w:color="000000"/>
                <w:right w:val="none" w:sz="0" w:space="0" w:color="000000"/>
              </w:pBdr>
              <w:spacing w:before="100"/>
              <w:ind w:left="100" w:right="100"/>
              <w:jc w:val="right"/>
              <w:rPr>
                <w:rFonts w:ascii="Times New Roman" w:hAnsi="Times New Roman" w:cs="Times New Roman"/>
                <w:color w:val="000000"/>
                <w:sz w:val="20"/>
                <w:szCs w:val="20"/>
              </w:rPr>
            </w:pPr>
            <w:r w:rsidRPr="007F00C7">
              <w:rPr>
                <w:rFonts w:ascii="Times New Roman" w:hAnsi="Times New Roman" w:cs="Times New Roman"/>
                <w:color w:val="000000"/>
                <w:sz w:val="20"/>
                <w:szCs w:val="20"/>
              </w:rPr>
              <w:t>Detection rate</w:t>
            </w:r>
          </w:p>
        </w:tc>
        <w:tc>
          <w:tcPr>
            <w:tcW w:w="1170" w:type="dxa"/>
            <w:tcBorders>
              <w:top w:val="single" w:sz="12" w:space="0" w:color="auto"/>
              <w:left w:val="nil"/>
              <w:bottom w:val="single" w:sz="8" w:space="0" w:color="auto"/>
              <w:right w:val="nil"/>
            </w:tcBorders>
            <w:shd w:val="clear" w:color="auto" w:fill="FFFFFF"/>
            <w:tcMar>
              <w:top w:w="0" w:type="dxa"/>
              <w:left w:w="0" w:type="dxa"/>
              <w:bottom w:w="0" w:type="dxa"/>
              <w:right w:w="0" w:type="dxa"/>
            </w:tcMar>
          </w:tcPr>
          <w:p w14:paraId="00000112" w14:textId="7A4F324E" w:rsidR="001527B5" w:rsidRPr="007F00C7" w:rsidRDefault="00000000" w:rsidP="0056410C">
            <w:pPr>
              <w:pBdr>
                <w:top w:val="none" w:sz="0" w:space="0" w:color="000000"/>
                <w:left w:val="none" w:sz="0" w:space="0" w:color="000000"/>
                <w:bottom w:val="none" w:sz="0" w:space="0" w:color="000000"/>
                <w:right w:val="none" w:sz="0" w:space="0" w:color="000000"/>
              </w:pBdr>
              <w:spacing w:before="100"/>
              <w:ind w:left="100" w:right="100"/>
              <w:jc w:val="right"/>
              <w:rPr>
                <w:rFonts w:ascii="Times New Roman" w:hAnsi="Times New Roman" w:cs="Times New Roman"/>
                <w:color w:val="000000"/>
                <w:sz w:val="20"/>
                <w:szCs w:val="20"/>
              </w:rPr>
            </w:pPr>
            <w:r w:rsidRPr="007F00C7">
              <w:rPr>
                <w:rFonts w:ascii="Times New Roman" w:hAnsi="Times New Roman" w:cs="Times New Roman"/>
                <w:color w:val="000000"/>
                <w:sz w:val="20"/>
                <w:szCs w:val="20"/>
              </w:rPr>
              <w:t>Balanced accuracy</w:t>
            </w:r>
          </w:p>
        </w:tc>
      </w:tr>
      <w:tr w:rsidR="001527B5" w:rsidRPr="007F00C7" w14:paraId="0226C6FD" w14:textId="77777777" w:rsidTr="003070CD">
        <w:trPr>
          <w:cantSplit/>
          <w:jc w:val="center"/>
        </w:trPr>
        <w:tc>
          <w:tcPr>
            <w:tcW w:w="1170" w:type="dxa"/>
            <w:tcBorders>
              <w:top w:val="single" w:sz="8" w:space="0" w:color="auto"/>
              <w:left w:val="nil"/>
              <w:bottom w:val="nil"/>
              <w:right w:val="nil"/>
            </w:tcBorders>
            <w:shd w:val="clear" w:color="auto" w:fill="FFFFFF"/>
            <w:tcMar>
              <w:top w:w="0" w:type="dxa"/>
              <w:left w:w="0" w:type="dxa"/>
              <w:bottom w:w="0" w:type="dxa"/>
              <w:right w:w="0" w:type="dxa"/>
            </w:tcMar>
          </w:tcPr>
          <w:p w14:paraId="00000113" w14:textId="77777777" w:rsidR="001527B5" w:rsidRPr="007F00C7" w:rsidRDefault="00000000">
            <w:pPr>
              <w:pBdr>
                <w:top w:val="none" w:sz="0" w:space="0" w:color="000000"/>
                <w:left w:val="none" w:sz="0" w:space="0" w:color="000000"/>
                <w:bottom w:val="none" w:sz="0" w:space="0" w:color="000000"/>
                <w:right w:val="none" w:sz="0" w:space="0" w:color="000000"/>
              </w:pBdr>
              <w:spacing w:before="100"/>
              <w:ind w:left="100" w:right="100"/>
              <w:rPr>
                <w:rFonts w:ascii="Times New Roman" w:hAnsi="Times New Roman" w:cs="Times New Roman"/>
              </w:rPr>
            </w:pPr>
            <w:r w:rsidRPr="007F00C7">
              <w:rPr>
                <w:rFonts w:ascii="Times New Roman" w:hAnsi="Times New Roman" w:cs="Times New Roman"/>
                <w:color w:val="000000"/>
                <w:sz w:val="20"/>
                <w:szCs w:val="20"/>
              </w:rPr>
              <w:t>Fir</w:t>
            </w:r>
          </w:p>
        </w:tc>
        <w:tc>
          <w:tcPr>
            <w:tcW w:w="1170" w:type="dxa"/>
            <w:tcBorders>
              <w:top w:val="single" w:sz="8" w:space="0" w:color="auto"/>
              <w:left w:val="nil"/>
              <w:bottom w:val="nil"/>
              <w:right w:val="nil"/>
            </w:tcBorders>
            <w:shd w:val="clear" w:color="auto" w:fill="FFFFFF"/>
            <w:tcMar>
              <w:top w:w="0" w:type="dxa"/>
              <w:left w:w="0" w:type="dxa"/>
              <w:bottom w:w="0" w:type="dxa"/>
              <w:right w:w="0" w:type="dxa"/>
            </w:tcMar>
          </w:tcPr>
          <w:p w14:paraId="00000114" w14:textId="77777777" w:rsidR="001527B5" w:rsidRPr="007F00C7" w:rsidRDefault="00000000">
            <w:pPr>
              <w:pBdr>
                <w:top w:val="none" w:sz="0" w:space="0" w:color="000000"/>
                <w:left w:val="none" w:sz="0" w:space="0" w:color="000000"/>
                <w:bottom w:val="none" w:sz="0" w:space="0" w:color="000000"/>
                <w:right w:val="none" w:sz="0" w:space="0" w:color="000000"/>
              </w:pBdr>
              <w:spacing w:before="100"/>
              <w:ind w:left="100" w:right="100"/>
              <w:jc w:val="right"/>
              <w:rPr>
                <w:rFonts w:ascii="Times New Roman" w:hAnsi="Times New Roman" w:cs="Times New Roman"/>
              </w:rPr>
            </w:pPr>
            <w:r w:rsidRPr="007F00C7">
              <w:rPr>
                <w:rFonts w:ascii="Times New Roman" w:hAnsi="Times New Roman" w:cs="Times New Roman"/>
                <w:color w:val="000000"/>
                <w:sz w:val="20"/>
                <w:szCs w:val="20"/>
              </w:rPr>
              <w:t>0.42</w:t>
            </w:r>
          </w:p>
        </w:tc>
        <w:tc>
          <w:tcPr>
            <w:tcW w:w="1170" w:type="dxa"/>
            <w:tcBorders>
              <w:top w:val="single" w:sz="8" w:space="0" w:color="auto"/>
              <w:left w:val="nil"/>
              <w:bottom w:val="nil"/>
              <w:right w:val="nil"/>
            </w:tcBorders>
            <w:shd w:val="clear" w:color="auto" w:fill="FFFFFF"/>
            <w:tcMar>
              <w:top w:w="0" w:type="dxa"/>
              <w:left w:w="0" w:type="dxa"/>
              <w:bottom w:w="0" w:type="dxa"/>
              <w:right w:w="0" w:type="dxa"/>
            </w:tcMar>
          </w:tcPr>
          <w:p w14:paraId="00000115" w14:textId="77777777" w:rsidR="001527B5" w:rsidRPr="007F00C7" w:rsidRDefault="00000000">
            <w:pPr>
              <w:pBdr>
                <w:top w:val="none" w:sz="0" w:space="0" w:color="000000"/>
                <w:left w:val="none" w:sz="0" w:space="0" w:color="000000"/>
                <w:bottom w:val="none" w:sz="0" w:space="0" w:color="000000"/>
                <w:right w:val="none" w:sz="0" w:space="0" w:color="000000"/>
              </w:pBdr>
              <w:spacing w:before="100"/>
              <w:ind w:left="100" w:right="100"/>
              <w:jc w:val="right"/>
              <w:rPr>
                <w:rFonts w:ascii="Times New Roman" w:hAnsi="Times New Roman" w:cs="Times New Roman"/>
              </w:rPr>
            </w:pPr>
            <w:r w:rsidRPr="007F00C7">
              <w:rPr>
                <w:rFonts w:ascii="Times New Roman" w:hAnsi="Times New Roman" w:cs="Times New Roman"/>
                <w:color w:val="000000"/>
                <w:sz w:val="20"/>
                <w:szCs w:val="20"/>
              </w:rPr>
              <w:t>0.81</w:t>
            </w:r>
          </w:p>
        </w:tc>
        <w:tc>
          <w:tcPr>
            <w:tcW w:w="1170" w:type="dxa"/>
            <w:tcBorders>
              <w:top w:val="single" w:sz="8" w:space="0" w:color="auto"/>
              <w:left w:val="nil"/>
              <w:bottom w:val="nil"/>
              <w:right w:val="nil"/>
            </w:tcBorders>
            <w:shd w:val="clear" w:color="auto" w:fill="FFFFFF"/>
            <w:tcMar>
              <w:top w:w="0" w:type="dxa"/>
              <w:left w:w="0" w:type="dxa"/>
              <w:bottom w:w="0" w:type="dxa"/>
              <w:right w:w="0" w:type="dxa"/>
            </w:tcMar>
          </w:tcPr>
          <w:p w14:paraId="00000116" w14:textId="77777777" w:rsidR="001527B5" w:rsidRPr="007F00C7" w:rsidRDefault="00000000">
            <w:pPr>
              <w:pBdr>
                <w:top w:val="none" w:sz="0" w:space="0" w:color="000000"/>
                <w:left w:val="none" w:sz="0" w:space="0" w:color="000000"/>
                <w:bottom w:val="none" w:sz="0" w:space="0" w:color="000000"/>
                <w:right w:val="none" w:sz="0" w:space="0" w:color="000000"/>
              </w:pBdr>
              <w:spacing w:before="100"/>
              <w:ind w:left="100" w:right="100"/>
              <w:jc w:val="right"/>
              <w:rPr>
                <w:rFonts w:ascii="Times New Roman" w:hAnsi="Times New Roman" w:cs="Times New Roman"/>
              </w:rPr>
            </w:pPr>
            <w:r w:rsidRPr="007F00C7">
              <w:rPr>
                <w:rFonts w:ascii="Times New Roman" w:hAnsi="Times New Roman" w:cs="Times New Roman"/>
                <w:color w:val="000000"/>
                <w:sz w:val="20"/>
                <w:szCs w:val="20"/>
              </w:rPr>
              <w:t>0.14</w:t>
            </w:r>
          </w:p>
        </w:tc>
        <w:tc>
          <w:tcPr>
            <w:tcW w:w="1170" w:type="dxa"/>
            <w:tcBorders>
              <w:top w:val="single" w:sz="8" w:space="0" w:color="auto"/>
              <w:left w:val="nil"/>
              <w:bottom w:val="nil"/>
              <w:right w:val="nil"/>
            </w:tcBorders>
            <w:shd w:val="clear" w:color="auto" w:fill="FFFFFF"/>
            <w:tcMar>
              <w:top w:w="0" w:type="dxa"/>
              <w:left w:w="0" w:type="dxa"/>
              <w:bottom w:w="0" w:type="dxa"/>
              <w:right w:w="0" w:type="dxa"/>
            </w:tcMar>
          </w:tcPr>
          <w:p w14:paraId="00000117" w14:textId="77777777" w:rsidR="001527B5" w:rsidRPr="007F00C7" w:rsidRDefault="00000000">
            <w:pPr>
              <w:pBdr>
                <w:top w:val="none" w:sz="0" w:space="0" w:color="000000"/>
                <w:left w:val="none" w:sz="0" w:space="0" w:color="000000"/>
                <w:bottom w:val="none" w:sz="0" w:space="0" w:color="000000"/>
                <w:right w:val="none" w:sz="0" w:space="0" w:color="000000"/>
              </w:pBdr>
              <w:spacing w:before="100"/>
              <w:ind w:left="100" w:right="100"/>
              <w:jc w:val="right"/>
              <w:rPr>
                <w:rFonts w:ascii="Times New Roman" w:hAnsi="Times New Roman" w:cs="Times New Roman"/>
              </w:rPr>
            </w:pPr>
            <w:r w:rsidRPr="007F00C7">
              <w:rPr>
                <w:rFonts w:ascii="Times New Roman" w:hAnsi="Times New Roman" w:cs="Times New Roman"/>
                <w:color w:val="000000"/>
                <w:sz w:val="20"/>
                <w:szCs w:val="20"/>
              </w:rPr>
              <w:t>0.42</w:t>
            </w:r>
          </w:p>
        </w:tc>
        <w:tc>
          <w:tcPr>
            <w:tcW w:w="1170" w:type="dxa"/>
            <w:tcBorders>
              <w:top w:val="single" w:sz="8" w:space="0" w:color="auto"/>
              <w:left w:val="nil"/>
              <w:bottom w:val="nil"/>
              <w:right w:val="nil"/>
            </w:tcBorders>
            <w:shd w:val="clear" w:color="auto" w:fill="FFFFFF"/>
            <w:tcMar>
              <w:top w:w="0" w:type="dxa"/>
              <w:left w:w="0" w:type="dxa"/>
              <w:bottom w:w="0" w:type="dxa"/>
              <w:right w:w="0" w:type="dxa"/>
            </w:tcMar>
          </w:tcPr>
          <w:p w14:paraId="00000118" w14:textId="77777777" w:rsidR="001527B5" w:rsidRPr="007F00C7" w:rsidRDefault="00000000">
            <w:pPr>
              <w:pBdr>
                <w:top w:val="none" w:sz="0" w:space="0" w:color="000000"/>
                <w:left w:val="none" w:sz="0" w:space="0" w:color="000000"/>
                <w:bottom w:val="none" w:sz="0" w:space="0" w:color="000000"/>
                <w:right w:val="none" w:sz="0" w:space="0" w:color="000000"/>
              </w:pBdr>
              <w:spacing w:before="100"/>
              <w:ind w:left="100" w:right="100"/>
              <w:jc w:val="right"/>
              <w:rPr>
                <w:rFonts w:ascii="Times New Roman" w:hAnsi="Times New Roman" w:cs="Times New Roman"/>
              </w:rPr>
            </w:pPr>
            <w:r w:rsidRPr="007F00C7">
              <w:rPr>
                <w:rFonts w:ascii="Times New Roman" w:hAnsi="Times New Roman" w:cs="Times New Roman"/>
                <w:color w:val="000000"/>
                <w:sz w:val="20"/>
                <w:szCs w:val="20"/>
              </w:rPr>
              <w:t>0.20</w:t>
            </w:r>
          </w:p>
        </w:tc>
        <w:tc>
          <w:tcPr>
            <w:tcW w:w="1170" w:type="dxa"/>
            <w:tcBorders>
              <w:top w:val="single" w:sz="8" w:space="0" w:color="auto"/>
              <w:left w:val="nil"/>
              <w:bottom w:val="nil"/>
              <w:right w:val="nil"/>
            </w:tcBorders>
            <w:shd w:val="clear" w:color="auto" w:fill="FFFFFF"/>
            <w:tcMar>
              <w:top w:w="0" w:type="dxa"/>
              <w:left w:w="0" w:type="dxa"/>
              <w:bottom w:w="0" w:type="dxa"/>
              <w:right w:w="0" w:type="dxa"/>
            </w:tcMar>
          </w:tcPr>
          <w:p w14:paraId="00000119" w14:textId="77777777" w:rsidR="001527B5" w:rsidRPr="007F00C7" w:rsidRDefault="00000000">
            <w:pPr>
              <w:pBdr>
                <w:top w:val="none" w:sz="0" w:space="0" w:color="000000"/>
                <w:left w:val="none" w:sz="0" w:space="0" w:color="000000"/>
                <w:bottom w:val="none" w:sz="0" w:space="0" w:color="000000"/>
                <w:right w:val="none" w:sz="0" w:space="0" w:color="000000"/>
              </w:pBdr>
              <w:spacing w:before="100"/>
              <w:ind w:left="100" w:right="100"/>
              <w:jc w:val="right"/>
              <w:rPr>
                <w:rFonts w:ascii="Times New Roman" w:hAnsi="Times New Roman" w:cs="Times New Roman"/>
              </w:rPr>
            </w:pPr>
            <w:r w:rsidRPr="007F00C7">
              <w:rPr>
                <w:rFonts w:ascii="Times New Roman" w:hAnsi="Times New Roman" w:cs="Times New Roman"/>
                <w:color w:val="000000"/>
                <w:sz w:val="20"/>
                <w:szCs w:val="20"/>
              </w:rPr>
              <w:t>0.03</w:t>
            </w:r>
          </w:p>
        </w:tc>
        <w:tc>
          <w:tcPr>
            <w:tcW w:w="1170" w:type="dxa"/>
            <w:tcBorders>
              <w:top w:val="single" w:sz="8" w:space="0" w:color="auto"/>
              <w:left w:val="nil"/>
              <w:bottom w:val="nil"/>
              <w:right w:val="nil"/>
            </w:tcBorders>
            <w:shd w:val="clear" w:color="auto" w:fill="FFFFFF"/>
            <w:tcMar>
              <w:top w:w="0" w:type="dxa"/>
              <w:left w:w="0" w:type="dxa"/>
              <w:bottom w:w="0" w:type="dxa"/>
              <w:right w:w="0" w:type="dxa"/>
            </w:tcMar>
          </w:tcPr>
          <w:p w14:paraId="0000011A" w14:textId="77777777" w:rsidR="001527B5" w:rsidRPr="007F00C7" w:rsidRDefault="00000000">
            <w:pPr>
              <w:pBdr>
                <w:top w:val="none" w:sz="0" w:space="0" w:color="000000"/>
                <w:left w:val="none" w:sz="0" w:space="0" w:color="000000"/>
                <w:bottom w:val="none" w:sz="0" w:space="0" w:color="000000"/>
                <w:right w:val="none" w:sz="0" w:space="0" w:color="000000"/>
              </w:pBdr>
              <w:spacing w:before="100"/>
              <w:ind w:left="100" w:right="100"/>
              <w:jc w:val="right"/>
              <w:rPr>
                <w:rFonts w:ascii="Times New Roman" w:hAnsi="Times New Roman" w:cs="Times New Roman"/>
              </w:rPr>
            </w:pPr>
            <w:r w:rsidRPr="007F00C7">
              <w:rPr>
                <w:rFonts w:ascii="Times New Roman" w:hAnsi="Times New Roman" w:cs="Times New Roman"/>
                <w:color w:val="000000"/>
                <w:sz w:val="20"/>
                <w:szCs w:val="20"/>
              </w:rPr>
              <w:t>0.61</w:t>
            </w:r>
          </w:p>
        </w:tc>
      </w:tr>
      <w:tr w:rsidR="001527B5" w:rsidRPr="007F00C7" w14:paraId="24AC7B34" w14:textId="77777777">
        <w:trPr>
          <w:cantSplit/>
          <w:jc w:val="center"/>
        </w:trPr>
        <w:tc>
          <w:tcPr>
            <w:tcW w:w="1170" w:type="dxa"/>
            <w:tcBorders>
              <w:top w:val="nil"/>
              <w:left w:val="nil"/>
              <w:bottom w:val="nil"/>
              <w:right w:val="nil"/>
            </w:tcBorders>
            <w:shd w:val="clear" w:color="auto" w:fill="FFFFFF"/>
            <w:tcMar>
              <w:top w:w="0" w:type="dxa"/>
              <w:left w:w="0" w:type="dxa"/>
              <w:bottom w:w="0" w:type="dxa"/>
              <w:right w:w="0" w:type="dxa"/>
            </w:tcMar>
          </w:tcPr>
          <w:p w14:paraId="0000011B" w14:textId="77777777" w:rsidR="001527B5" w:rsidRPr="007F00C7" w:rsidRDefault="00000000">
            <w:pPr>
              <w:pBdr>
                <w:top w:val="none" w:sz="0" w:space="0" w:color="000000"/>
                <w:left w:val="none" w:sz="0" w:space="0" w:color="000000"/>
                <w:bottom w:val="none" w:sz="0" w:space="0" w:color="000000"/>
                <w:right w:val="none" w:sz="0" w:space="0" w:color="000000"/>
              </w:pBdr>
              <w:spacing w:before="100"/>
              <w:ind w:left="100" w:right="100"/>
              <w:rPr>
                <w:rFonts w:ascii="Times New Roman" w:hAnsi="Times New Roman" w:cs="Times New Roman"/>
              </w:rPr>
            </w:pPr>
            <w:r w:rsidRPr="007F00C7">
              <w:rPr>
                <w:rFonts w:ascii="Times New Roman" w:hAnsi="Times New Roman" w:cs="Times New Roman"/>
                <w:color w:val="000000"/>
                <w:sz w:val="20"/>
                <w:szCs w:val="20"/>
              </w:rPr>
              <w:t>Pine</w:t>
            </w:r>
          </w:p>
        </w:tc>
        <w:tc>
          <w:tcPr>
            <w:tcW w:w="1170" w:type="dxa"/>
            <w:tcBorders>
              <w:top w:val="nil"/>
              <w:left w:val="nil"/>
              <w:bottom w:val="nil"/>
              <w:right w:val="nil"/>
            </w:tcBorders>
            <w:shd w:val="clear" w:color="auto" w:fill="FFFFFF"/>
            <w:tcMar>
              <w:top w:w="0" w:type="dxa"/>
              <w:left w:w="0" w:type="dxa"/>
              <w:bottom w:w="0" w:type="dxa"/>
              <w:right w:w="0" w:type="dxa"/>
            </w:tcMar>
          </w:tcPr>
          <w:p w14:paraId="0000011C" w14:textId="77777777" w:rsidR="001527B5" w:rsidRPr="007F00C7" w:rsidRDefault="00000000">
            <w:pPr>
              <w:pBdr>
                <w:top w:val="none" w:sz="0" w:space="0" w:color="000000"/>
                <w:left w:val="none" w:sz="0" w:space="0" w:color="000000"/>
                <w:bottom w:val="none" w:sz="0" w:space="0" w:color="000000"/>
                <w:right w:val="none" w:sz="0" w:space="0" w:color="000000"/>
              </w:pBdr>
              <w:spacing w:before="100"/>
              <w:ind w:left="100" w:right="100"/>
              <w:jc w:val="right"/>
              <w:rPr>
                <w:rFonts w:ascii="Times New Roman" w:hAnsi="Times New Roman" w:cs="Times New Roman"/>
              </w:rPr>
            </w:pPr>
            <w:r w:rsidRPr="007F00C7">
              <w:rPr>
                <w:rFonts w:ascii="Times New Roman" w:hAnsi="Times New Roman" w:cs="Times New Roman"/>
                <w:color w:val="000000"/>
                <w:sz w:val="20"/>
                <w:szCs w:val="20"/>
              </w:rPr>
              <w:t>0.65</w:t>
            </w:r>
          </w:p>
        </w:tc>
        <w:tc>
          <w:tcPr>
            <w:tcW w:w="1170" w:type="dxa"/>
            <w:tcBorders>
              <w:top w:val="nil"/>
              <w:left w:val="nil"/>
              <w:bottom w:val="nil"/>
              <w:right w:val="nil"/>
            </w:tcBorders>
            <w:shd w:val="clear" w:color="auto" w:fill="FFFFFF"/>
            <w:tcMar>
              <w:top w:w="0" w:type="dxa"/>
              <w:left w:w="0" w:type="dxa"/>
              <w:bottom w:w="0" w:type="dxa"/>
              <w:right w:w="0" w:type="dxa"/>
            </w:tcMar>
          </w:tcPr>
          <w:p w14:paraId="0000011D" w14:textId="77777777" w:rsidR="001527B5" w:rsidRPr="007F00C7" w:rsidRDefault="00000000">
            <w:pPr>
              <w:pBdr>
                <w:top w:val="none" w:sz="0" w:space="0" w:color="000000"/>
                <w:left w:val="none" w:sz="0" w:space="0" w:color="000000"/>
                <w:bottom w:val="none" w:sz="0" w:space="0" w:color="000000"/>
                <w:right w:val="none" w:sz="0" w:space="0" w:color="000000"/>
              </w:pBdr>
              <w:spacing w:before="100"/>
              <w:ind w:left="100" w:right="100"/>
              <w:jc w:val="right"/>
              <w:rPr>
                <w:rFonts w:ascii="Times New Roman" w:hAnsi="Times New Roman" w:cs="Times New Roman"/>
              </w:rPr>
            </w:pPr>
            <w:r w:rsidRPr="007F00C7">
              <w:rPr>
                <w:rFonts w:ascii="Times New Roman" w:hAnsi="Times New Roman" w:cs="Times New Roman"/>
                <w:color w:val="000000"/>
                <w:sz w:val="20"/>
                <w:szCs w:val="20"/>
              </w:rPr>
              <w:t>0.98</w:t>
            </w:r>
          </w:p>
        </w:tc>
        <w:tc>
          <w:tcPr>
            <w:tcW w:w="1170" w:type="dxa"/>
            <w:tcBorders>
              <w:top w:val="nil"/>
              <w:left w:val="nil"/>
              <w:bottom w:val="nil"/>
              <w:right w:val="nil"/>
            </w:tcBorders>
            <w:shd w:val="clear" w:color="auto" w:fill="FFFFFF"/>
            <w:tcMar>
              <w:top w:w="0" w:type="dxa"/>
              <w:left w:w="0" w:type="dxa"/>
              <w:bottom w:w="0" w:type="dxa"/>
              <w:right w:w="0" w:type="dxa"/>
            </w:tcMar>
          </w:tcPr>
          <w:p w14:paraId="0000011E" w14:textId="77777777" w:rsidR="001527B5" w:rsidRPr="007F00C7" w:rsidRDefault="00000000">
            <w:pPr>
              <w:pBdr>
                <w:top w:val="none" w:sz="0" w:space="0" w:color="000000"/>
                <w:left w:val="none" w:sz="0" w:space="0" w:color="000000"/>
                <w:bottom w:val="none" w:sz="0" w:space="0" w:color="000000"/>
                <w:right w:val="none" w:sz="0" w:space="0" w:color="000000"/>
              </w:pBdr>
              <w:spacing w:before="100"/>
              <w:ind w:left="100" w:right="100"/>
              <w:jc w:val="right"/>
              <w:rPr>
                <w:rFonts w:ascii="Times New Roman" w:hAnsi="Times New Roman" w:cs="Times New Roman"/>
              </w:rPr>
            </w:pPr>
            <w:r w:rsidRPr="007F00C7">
              <w:rPr>
                <w:rFonts w:ascii="Times New Roman" w:hAnsi="Times New Roman" w:cs="Times New Roman"/>
                <w:color w:val="000000"/>
                <w:sz w:val="20"/>
                <w:szCs w:val="20"/>
              </w:rPr>
              <w:t>0.87</w:t>
            </w:r>
          </w:p>
        </w:tc>
        <w:tc>
          <w:tcPr>
            <w:tcW w:w="1170" w:type="dxa"/>
            <w:tcBorders>
              <w:top w:val="nil"/>
              <w:left w:val="nil"/>
              <w:bottom w:val="nil"/>
              <w:right w:val="nil"/>
            </w:tcBorders>
            <w:shd w:val="clear" w:color="auto" w:fill="FFFFFF"/>
            <w:tcMar>
              <w:top w:w="0" w:type="dxa"/>
              <w:left w:w="0" w:type="dxa"/>
              <w:bottom w:w="0" w:type="dxa"/>
              <w:right w:w="0" w:type="dxa"/>
            </w:tcMar>
          </w:tcPr>
          <w:p w14:paraId="0000011F" w14:textId="77777777" w:rsidR="001527B5" w:rsidRPr="007F00C7" w:rsidRDefault="00000000">
            <w:pPr>
              <w:pBdr>
                <w:top w:val="none" w:sz="0" w:space="0" w:color="000000"/>
                <w:left w:val="none" w:sz="0" w:space="0" w:color="000000"/>
                <w:bottom w:val="none" w:sz="0" w:space="0" w:color="000000"/>
                <w:right w:val="none" w:sz="0" w:space="0" w:color="000000"/>
              </w:pBdr>
              <w:spacing w:before="100"/>
              <w:ind w:left="100" w:right="100"/>
              <w:jc w:val="right"/>
              <w:rPr>
                <w:rFonts w:ascii="Times New Roman" w:hAnsi="Times New Roman" w:cs="Times New Roman"/>
              </w:rPr>
            </w:pPr>
            <w:r w:rsidRPr="007F00C7">
              <w:rPr>
                <w:rFonts w:ascii="Times New Roman" w:hAnsi="Times New Roman" w:cs="Times New Roman"/>
                <w:color w:val="000000"/>
                <w:sz w:val="20"/>
                <w:szCs w:val="20"/>
              </w:rPr>
              <w:t>0.65</w:t>
            </w:r>
          </w:p>
        </w:tc>
        <w:tc>
          <w:tcPr>
            <w:tcW w:w="1170" w:type="dxa"/>
            <w:tcBorders>
              <w:top w:val="nil"/>
              <w:left w:val="nil"/>
              <w:bottom w:val="nil"/>
              <w:right w:val="nil"/>
            </w:tcBorders>
            <w:shd w:val="clear" w:color="auto" w:fill="FFFFFF"/>
            <w:tcMar>
              <w:top w:w="0" w:type="dxa"/>
              <w:left w:w="0" w:type="dxa"/>
              <w:bottom w:w="0" w:type="dxa"/>
              <w:right w:w="0" w:type="dxa"/>
            </w:tcMar>
          </w:tcPr>
          <w:p w14:paraId="00000120" w14:textId="77777777" w:rsidR="001527B5" w:rsidRPr="007F00C7" w:rsidRDefault="00000000">
            <w:pPr>
              <w:pBdr>
                <w:top w:val="none" w:sz="0" w:space="0" w:color="000000"/>
                <w:left w:val="none" w:sz="0" w:space="0" w:color="000000"/>
                <w:bottom w:val="none" w:sz="0" w:space="0" w:color="000000"/>
                <w:right w:val="none" w:sz="0" w:space="0" w:color="000000"/>
              </w:pBdr>
              <w:spacing w:before="100"/>
              <w:ind w:left="100" w:right="100"/>
              <w:jc w:val="right"/>
              <w:rPr>
                <w:rFonts w:ascii="Times New Roman" w:hAnsi="Times New Roman" w:cs="Times New Roman"/>
              </w:rPr>
            </w:pPr>
            <w:r w:rsidRPr="007F00C7">
              <w:rPr>
                <w:rFonts w:ascii="Times New Roman" w:hAnsi="Times New Roman" w:cs="Times New Roman"/>
                <w:color w:val="000000"/>
                <w:sz w:val="20"/>
                <w:szCs w:val="20"/>
              </w:rPr>
              <w:t>0.74</w:t>
            </w:r>
          </w:p>
        </w:tc>
        <w:tc>
          <w:tcPr>
            <w:tcW w:w="1170" w:type="dxa"/>
            <w:tcBorders>
              <w:top w:val="nil"/>
              <w:left w:val="nil"/>
              <w:bottom w:val="nil"/>
              <w:right w:val="nil"/>
            </w:tcBorders>
            <w:shd w:val="clear" w:color="auto" w:fill="FFFFFF"/>
            <w:tcMar>
              <w:top w:w="0" w:type="dxa"/>
              <w:left w:w="0" w:type="dxa"/>
              <w:bottom w:w="0" w:type="dxa"/>
              <w:right w:w="0" w:type="dxa"/>
            </w:tcMar>
          </w:tcPr>
          <w:p w14:paraId="00000121" w14:textId="77777777" w:rsidR="001527B5" w:rsidRPr="007F00C7" w:rsidRDefault="00000000">
            <w:pPr>
              <w:pBdr>
                <w:top w:val="none" w:sz="0" w:space="0" w:color="000000"/>
                <w:left w:val="none" w:sz="0" w:space="0" w:color="000000"/>
                <w:bottom w:val="none" w:sz="0" w:space="0" w:color="000000"/>
                <w:right w:val="none" w:sz="0" w:space="0" w:color="000000"/>
              </w:pBdr>
              <w:spacing w:before="100"/>
              <w:ind w:left="100" w:right="100"/>
              <w:jc w:val="right"/>
              <w:rPr>
                <w:rFonts w:ascii="Times New Roman" w:hAnsi="Times New Roman" w:cs="Times New Roman"/>
              </w:rPr>
            </w:pPr>
            <w:r w:rsidRPr="007F00C7">
              <w:rPr>
                <w:rFonts w:ascii="Times New Roman" w:hAnsi="Times New Roman" w:cs="Times New Roman"/>
                <w:color w:val="000000"/>
                <w:sz w:val="20"/>
                <w:szCs w:val="20"/>
              </w:rPr>
              <w:t>0.11</w:t>
            </w:r>
          </w:p>
        </w:tc>
        <w:tc>
          <w:tcPr>
            <w:tcW w:w="1170" w:type="dxa"/>
            <w:tcBorders>
              <w:top w:val="nil"/>
              <w:left w:val="nil"/>
              <w:bottom w:val="nil"/>
              <w:right w:val="nil"/>
            </w:tcBorders>
            <w:shd w:val="clear" w:color="auto" w:fill="FFFFFF"/>
            <w:tcMar>
              <w:top w:w="0" w:type="dxa"/>
              <w:left w:w="0" w:type="dxa"/>
              <w:bottom w:w="0" w:type="dxa"/>
              <w:right w:w="0" w:type="dxa"/>
            </w:tcMar>
          </w:tcPr>
          <w:p w14:paraId="00000122" w14:textId="77777777" w:rsidR="001527B5" w:rsidRPr="007F00C7" w:rsidRDefault="00000000">
            <w:pPr>
              <w:pBdr>
                <w:top w:val="none" w:sz="0" w:space="0" w:color="000000"/>
                <w:left w:val="none" w:sz="0" w:space="0" w:color="000000"/>
                <w:bottom w:val="none" w:sz="0" w:space="0" w:color="000000"/>
                <w:right w:val="none" w:sz="0" w:space="0" w:color="000000"/>
              </w:pBdr>
              <w:spacing w:before="100"/>
              <w:ind w:left="100" w:right="100"/>
              <w:jc w:val="right"/>
              <w:rPr>
                <w:rFonts w:ascii="Times New Roman" w:hAnsi="Times New Roman" w:cs="Times New Roman"/>
              </w:rPr>
            </w:pPr>
            <w:r w:rsidRPr="007F00C7">
              <w:rPr>
                <w:rFonts w:ascii="Times New Roman" w:hAnsi="Times New Roman" w:cs="Times New Roman"/>
                <w:color w:val="000000"/>
                <w:sz w:val="20"/>
                <w:szCs w:val="20"/>
              </w:rPr>
              <w:t>0.81</w:t>
            </w:r>
          </w:p>
        </w:tc>
      </w:tr>
      <w:tr w:rsidR="001527B5" w:rsidRPr="007F00C7" w14:paraId="07FF4294" w14:textId="77777777" w:rsidTr="003070CD">
        <w:trPr>
          <w:cantSplit/>
          <w:jc w:val="center"/>
        </w:trPr>
        <w:tc>
          <w:tcPr>
            <w:tcW w:w="1170" w:type="dxa"/>
            <w:tcBorders>
              <w:top w:val="nil"/>
              <w:left w:val="nil"/>
              <w:bottom w:val="single" w:sz="12" w:space="0" w:color="auto"/>
              <w:right w:val="nil"/>
            </w:tcBorders>
            <w:shd w:val="clear" w:color="auto" w:fill="FFFFFF"/>
            <w:tcMar>
              <w:top w:w="0" w:type="dxa"/>
              <w:left w:w="0" w:type="dxa"/>
              <w:bottom w:w="0" w:type="dxa"/>
              <w:right w:w="0" w:type="dxa"/>
            </w:tcMar>
          </w:tcPr>
          <w:p w14:paraId="00000123" w14:textId="77777777" w:rsidR="001527B5" w:rsidRPr="007F00C7" w:rsidRDefault="00000000">
            <w:pPr>
              <w:pBdr>
                <w:top w:val="none" w:sz="0" w:space="0" w:color="000000"/>
                <w:left w:val="none" w:sz="0" w:space="0" w:color="000000"/>
                <w:bottom w:val="none" w:sz="0" w:space="0" w:color="000000"/>
                <w:right w:val="none" w:sz="0" w:space="0" w:color="000000"/>
              </w:pBdr>
              <w:spacing w:before="100"/>
              <w:ind w:left="100" w:right="100"/>
              <w:rPr>
                <w:rFonts w:ascii="Times New Roman" w:hAnsi="Times New Roman" w:cs="Times New Roman"/>
              </w:rPr>
            </w:pPr>
            <w:r w:rsidRPr="007F00C7">
              <w:rPr>
                <w:rFonts w:ascii="Times New Roman" w:hAnsi="Times New Roman" w:cs="Times New Roman"/>
                <w:color w:val="000000"/>
                <w:sz w:val="20"/>
                <w:szCs w:val="20"/>
              </w:rPr>
              <w:t>Spruce</w:t>
            </w:r>
          </w:p>
        </w:tc>
        <w:tc>
          <w:tcPr>
            <w:tcW w:w="1170" w:type="dxa"/>
            <w:tcBorders>
              <w:top w:val="nil"/>
              <w:left w:val="nil"/>
              <w:bottom w:val="single" w:sz="12" w:space="0" w:color="auto"/>
              <w:right w:val="nil"/>
            </w:tcBorders>
            <w:shd w:val="clear" w:color="auto" w:fill="FFFFFF"/>
            <w:tcMar>
              <w:top w:w="0" w:type="dxa"/>
              <w:left w:w="0" w:type="dxa"/>
              <w:bottom w:w="0" w:type="dxa"/>
              <w:right w:w="0" w:type="dxa"/>
            </w:tcMar>
          </w:tcPr>
          <w:p w14:paraId="00000124" w14:textId="77777777" w:rsidR="001527B5" w:rsidRPr="007F00C7" w:rsidRDefault="00000000">
            <w:pPr>
              <w:pBdr>
                <w:top w:val="none" w:sz="0" w:space="0" w:color="000000"/>
                <w:left w:val="none" w:sz="0" w:space="0" w:color="000000"/>
                <w:bottom w:val="none" w:sz="0" w:space="0" w:color="000000"/>
                <w:right w:val="none" w:sz="0" w:space="0" w:color="000000"/>
              </w:pBdr>
              <w:spacing w:before="100"/>
              <w:ind w:left="100" w:right="100"/>
              <w:jc w:val="right"/>
              <w:rPr>
                <w:rFonts w:ascii="Times New Roman" w:hAnsi="Times New Roman" w:cs="Times New Roman"/>
              </w:rPr>
            </w:pPr>
            <w:r w:rsidRPr="007F00C7">
              <w:rPr>
                <w:rFonts w:ascii="Times New Roman" w:hAnsi="Times New Roman" w:cs="Times New Roman"/>
                <w:color w:val="000000"/>
                <w:sz w:val="20"/>
                <w:szCs w:val="20"/>
              </w:rPr>
              <w:t>0.77</w:t>
            </w:r>
          </w:p>
        </w:tc>
        <w:tc>
          <w:tcPr>
            <w:tcW w:w="1170" w:type="dxa"/>
            <w:tcBorders>
              <w:top w:val="nil"/>
              <w:left w:val="nil"/>
              <w:bottom w:val="single" w:sz="12" w:space="0" w:color="auto"/>
              <w:right w:val="nil"/>
            </w:tcBorders>
            <w:shd w:val="clear" w:color="auto" w:fill="FFFFFF"/>
            <w:tcMar>
              <w:top w:w="0" w:type="dxa"/>
              <w:left w:w="0" w:type="dxa"/>
              <w:bottom w:w="0" w:type="dxa"/>
              <w:right w:w="0" w:type="dxa"/>
            </w:tcMar>
          </w:tcPr>
          <w:p w14:paraId="00000125" w14:textId="77777777" w:rsidR="001527B5" w:rsidRPr="007F00C7" w:rsidRDefault="00000000">
            <w:pPr>
              <w:pBdr>
                <w:top w:val="none" w:sz="0" w:space="0" w:color="000000"/>
                <w:left w:val="none" w:sz="0" w:space="0" w:color="000000"/>
                <w:bottom w:val="none" w:sz="0" w:space="0" w:color="000000"/>
                <w:right w:val="none" w:sz="0" w:space="0" w:color="000000"/>
              </w:pBdr>
              <w:spacing w:before="100"/>
              <w:ind w:left="100" w:right="100"/>
              <w:jc w:val="right"/>
              <w:rPr>
                <w:rFonts w:ascii="Times New Roman" w:hAnsi="Times New Roman" w:cs="Times New Roman"/>
              </w:rPr>
            </w:pPr>
            <w:r w:rsidRPr="007F00C7">
              <w:rPr>
                <w:rFonts w:ascii="Times New Roman" w:hAnsi="Times New Roman" w:cs="Times New Roman"/>
                <w:color w:val="000000"/>
                <w:sz w:val="20"/>
                <w:szCs w:val="20"/>
              </w:rPr>
              <w:t>0.67</w:t>
            </w:r>
          </w:p>
        </w:tc>
        <w:tc>
          <w:tcPr>
            <w:tcW w:w="1170" w:type="dxa"/>
            <w:tcBorders>
              <w:top w:val="nil"/>
              <w:left w:val="nil"/>
              <w:bottom w:val="single" w:sz="12" w:space="0" w:color="auto"/>
              <w:right w:val="nil"/>
            </w:tcBorders>
            <w:shd w:val="clear" w:color="auto" w:fill="FFFFFF"/>
            <w:tcMar>
              <w:top w:w="0" w:type="dxa"/>
              <w:left w:w="0" w:type="dxa"/>
              <w:bottom w:w="0" w:type="dxa"/>
              <w:right w:w="0" w:type="dxa"/>
            </w:tcMar>
          </w:tcPr>
          <w:p w14:paraId="00000126" w14:textId="77777777" w:rsidR="001527B5" w:rsidRPr="007F00C7" w:rsidRDefault="00000000">
            <w:pPr>
              <w:pBdr>
                <w:top w:val="none" w:sz="0" w:space="0" w:color="000000"/>
                <w:left w:val="none" w:sz="0" w:space="0" w:color="000000"/>
                <w:bottom w:val="none" w:sz="0" w:space="0" w:color="000000"/>
                <w:right w:val="none" w:sz="0" w:space="0" w:color="000000"/>
              </w:pBdr>
              <w:spacing w:before="100"/>
              <w:ind w:left="100" w:right="100"/>
              <w:jc w:val="right"/>
              <w:rPr>
                <w:rFonts w:ascii="Times New Roman" w:hAnsi="Times New Roman" w:cs="Times New Roman"/>
              </w:rPr>
            </w:pPr>
            <w:r w:rsidRPr="007F00C7">
              <w:rPr>
                <w:rFonts w:ascii="Times New Roman" w:hAnsi="Times New Roman" w:cs="Times New Roman"/>
                <w:color w:val="000000"/>
                <w:sz w:val="20"/>
                <w:szCs w:val="20"/>
              </w:rPr>
              <w:t>0.88</w:t>
            </w:r>
          </w:p>
        </w:tc>
        <w:tc>
          <w:tcPr>
            <w:tcW w:w="1170" w:type="dxa"/>
            <w:tcBorders>
              <w:top w:val="nil"/>
              <w:left w:val="nil"/>
              <w:bottom w:val="single" w:sz="12" w:space="0" w:color="auto"/>
              <w:right w:val="nil"/>
            </w:tcBorders>
            <w:shd w:val="clear" w:color="auto" w:fill="FFFFFF"/>
            <w:tcMar>
              <w:top w:w="0" w:type="dxa"/>
              <w:left w:w="0" w:type="dxa"/>
              <w:bottom w:w="0" w:type="dxa"/>
              <w:right w:w="0" w:type="dxa"/>
            </w:tcMar>
          </w:tcPr>
          <w:p w14:paraId="00000127" w14:textId="77777777" w:rsidR="001527B5" w:rsidRPr="007F00C7" w:rsidRDefault="00000000">
            <w:pPr>
              <w:pBdr>
                <w:top w:val="none" w:sz="0" w:space="0" w:color="000000"/>
                <w:left w:val="none" w:sz="0" w:space="0" w:color="000000"/>
                <w:bottom w:val="none" w:sz="0" w:space="0" w:color="000000"/>
                <w:right w:val="none" w:sz="0" w:space="0" w:color="000000"/>
              </w:pBdr>
              <w:spacing w:before="100"/>
              <w:ind w:left="100" w:right="100"/>
              <w:jc w:val="right"/>
              <w:rPr>
                <w:rFonts w:ascii="Times New Roman" w:hAnsi="Times New Roman" w:cs="Times New Roman"/>
              </w:rPr>
            </w:pPr>
            <w:r w:rsidRPr="007F00C7">
              <w:rPr>
                <w:rFonts w:ascii="Times New Roman" w:hAnsi="Times New Roman" w:cs="Times New Roman"/>
                <w:color w:val="000000"/>
                <w:sz w:val="20"/>
                <w:szCs w:val="20"/>
              </w:rPr>
              <w:t>0.77</w:t>
            </w:r>
          </w:p>
        </w:tc>
        <w:tc>
          <w:tcPr>
            <w:tcW w:w="1170" w:type="dxa"/>
            <w:tcBorders>
              <w:top w:val="nil"/>
              <w:left w:val="nil"/>
              <w:bottom w:val="single" w:sz="12" w:space="0" w:color="auto"/>
              <w:right w:val="nil"/>
            </w:tcBorders>
            <w:shd w:val="clear" w:color="auto" w:fill="FFFFFF"/>
            <w:tcMar>
              <w:top w:w="0" w:type="dxa"/>
              <w:left w:w="0" w:type="dxa"/>
              <w:bottom w:w="0" w:type="dxa"/>
              <w:right w:w="0" w:type="dxa"/>
            </w:tcMar>
          </w:tcPr>
          <w:p w14:paraId="00000128" w14:textId="77777777" w:rsidR="001527B5" w:rsidRPr="007F00C7" w:rsidRDefault="00000000">
            <w:pPr>
              <w:pBdr>
                <w:top w:val="none" w:sz="0" w:space="0" w:color="000000"/>
                <w:left w:val="none" w:sz="0" w:space="0" w:color="000000"/>
                <w:bottom w:val="none" w:sz="0" w:space="0" w:color="000000"/>
                <w:right w:val="none" w:sz="0" w:space="0" w:color="000000"/>
              </w:pBdr>
              <w:spacing w:before="100"/>
              <w:ind w:left="100" w:right="100"/>
              <w:jc w:val="right"/>
              <w:rPr>
                <w:rFonts w:ascii="Times New Roman" w:hAnsi="Times New Roman" w:cs="Times New Roman"/>
              </w:rPr>
            </w:pPr>
            <w:r w:rsidRPr="007F00C7">
              <w:rPr>
                <w:rFonts w:ascii="Times New Roman" w:hAnsi="Times New Roman" w:cs="Times New Roman"/>
                <w:color w:val="000000"/>
                <w:sz w:val="20"/>
                <w:szCs w:val="20"/>
              </w:rPr>
              <w:t>0.82</w:t>
            </w:r>
          </w:p>
        </w:tc>
        <w:tc>
          <w:tcPr>
            <w:tcW w:w="1170" w:type="dxa"/>
            <w:tcBorders>
              <w:top w:val="nil"/>
              <w:left w:val="nil"/>
              <w:bottom w:val="single" w:sz="12" w:space="0" w:color="auto"/>
              <w:right w:val="nil"/>
            </w:tcBorders>
            <w:shd w:val="clear" w:color="auto" w:fill="FFFFFF"/>
            <w:tcMar>
              <w:top w:w="0" w:type="dxa"/>
              <w:left w:w="0" w:type="dxa"/>
              <w:bottom w:w="0" w:type="dxa"/>
              <w:right w:w="0" w:type="dxa"/>
            </w:tcMar>
          </w:tcPr>
          <w:p w14:paraId="00000129" w14:textId="77777777" w:rsidR="001527B5" w:rsidRPr="007F00C7" w:rsidRDefault="00000000">
            <w:pPr>
              <w:pBdr>
                <w:top w:val="none" w:sz="0" w:space="0" w:color="000000"/>
                <w:left w:val="none" w:sz="0" w:space="0" w:color="000000"/>
                <w:bottom w:val="none" w:sz="0" w:space="0" w:color="000000"/>
                <w:right w:val="none" w:sz="0" w:space="0" w:color="000000"/>
              </w:pBdr>
              <w:spacing w:before="100"/>
              <w:ind w:left="100" w:right="100"/>
              <w:jc w:val="right"/>
              <w:rPr>
                <w:rFonts w:ascii="Times New Roman" w:hAnsi="Times New Roman" w:cs="Times New Roman"/>
              </w:rPr>
            </w:pPr>
            <w:r w:rsidRPr="007F00C7">
              <w:rPr>
                <w:rFonts w:ascii="Times New Roman" w:hAnsi="Times New Roman" w:cs="Times New Roman"/>
                <w:color w:val="000000"/>
                <w:sz w:val="20"/>
                <w:szCs w:val="20"/>
              </w:rPr>
              <w:t>0.59</w:t>
            </w:r>
          </w:p>
        </w:tc>
        <w:tc>
          <w:tcPr>
            <w:tcW w:w="1170" w:type="dxa"/>
            <w:tcBorders>
              <w:top w:val="nil"/>
              <w:left w:val="nil"/>
              <w:bottom w:val="single" w:sz="12" w:space="0" w:color="auto"/>
              <w:right w:val="nil"/>
            </w:tcBorders>
            <w:shd w:val="clear" w:color="auto" w:fill="FFFFFF"/>
            <w:tcMar>
              <w:top w:w="0" w:type="dxa"/>
              <w:left w:w="0" w:type="dxa"/>
              <w:bottom w:w="0" w:type="dxa"/>
              <w:right w:w="0" w:type="dxa"/>
            </w:tcMar>
          </w:tcPr>
          <w:p w14:paraId="0000012A" w14:textId="77777777" w:rsidR="001527B5" w:rsidRPr="007F00C7" w:rsidRDefault="00000000">
            <w:pPr>
              <w:pBdr>
                <w:top w:val="none" w:sz="0" w:space="0" w:color="000000"/>
                <w:left w:val="none" w:sz="0" w:space="0" w:color="000000"/>
                <w:bottom w:val="none" w:sz="0" w:space="0" w:color="000000"/>
                <w:right w:val="none" w:sz="0" w:space="0" w:color="000000"/>
              </w:pBdr>
              <w:spacing w:before="100"/>
              <w:ind w:left="100" w:right="100"/>
              <w:jc w:val="right"/>
              <w:rPr>
                <w:rFonts w:ascii="Times New Roman" w:hAnsi="Times New Roman" w:cs="Times New Roman"/>
              </w:rPr>
            </w:pPr>
            <w:r w:rsidRPr="007F00C7">
              <w:rPr>
                <w:rFonts w:ascii="Times New Roman" w:hAnsi="Times New Roman" w:cs="Times New Roman"/>
                <w:color w:val="000000"/>
                <w:sz w:val="20"/>
                <w:szCs w:val="20"/>
              </w:rPr>
              <w:t>0.72</w:t>
            </w:r>
          </w:p>
        </w:tc>
      </w:tr>
    </w:tbl>
    <w:p w14:paraId="0000012B" w14:textId="77777777" w:rsidR="001527B5" w:rsidRPr="007F00C7" w:rsidRDefault="00000000">
      <w:pPr>
        <w:spacing w:after="0"/>
      </w:pPr>
      <w:r w:rsidRPr="007F00C7">
        <w:br w:type="page"/>
      </w:r>
    </w:p>
    <w:p w14:paraId="0000012C" w14:textId="1CCFA340" w:rsidR="001527B5" w:rsidRPr="007F00C7" w:rsidRDefault="00000000">
      <w:pPr>
        <w:pBdr>
          <w:top w:val="nil"/>
          <w:left w:val="nil"/>
          <w:bottom w:val="nil"/>
          <w:right w:val="nil"/>
          <w:between w:val="nil"/>
        </w:pBdr>
        <w:spacing w:before="180" w:after="0" w:line="480" w:lineRule="auto"/>
        <w:rPr>
          <w:color w:val="000000"/>
        </w:rPr>
      </w:pPr>
      <w:r w:rsidRPr="007F00C7">
        <w:rPr>
          <w:b/>
          <w:color w:val="000000"/>
        </w:rPr>
        <w:lastRenderedPageBreak/>
        <w:t>Table 3.</w:t>
      </w:r>
      <w:r w:rsidRPr="007F00C7">
        <w:rPr>
          <w:color w:val="000000"/>
        </w:rPr>
        <w:t xml:space="preserve"> Training error and cross-validation (CV) error from generalized boosted models (GBM) and percent deviance explained (PDE) from generalized additive models (GAM)</w:t>
      </w:r>
      <w:r w:rsidR="005A70F9" w:rsidRPr="007F00C7">
        <w:rPr>
          <w:color w:val="000000"/>
        </w:rPr>
        <w:t xml:space="preserve"> estimated on conifer forest </w:t>
      </w:r>
      <w:r w:rsidR="00DC2B1B" w:rsidRPr="007F00C7">
        <w:rPr>
          <w:color w:val="000000"/>
        </w:rPr>
        <w:t xml:space="preserve">metrics </w:t>
      </w:r>
      <w:r w:rsidR="005A70F9" w:rsidRPr="007F00C7">
        <w:rPr>
          <w:color w:val="000000"/>
        </w:rPr>
        <w:t>and abiotic data across the full domain</w:t>
      </w:r>
      <w:r w:rsidRPr="007F00C7">
        <w:rPr>
          <w:color w:val="000000"/>
        </w:rPr>
        <w:t>. GBM error values are reported in the units of the response variable. GAM PDE is reported as a percentage (%).</w:t>
      </w:r>
    </w:p>
    <w:tbl>
      <w:tblPr>
        <w:tblStyle w:val="a4"/>
        <w:tblW w:w="586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55"/>
        <w:gridCol w:w="1335"/>
        <w:gridCol w:w="960"/>
        <w:gridCol w:w="915"/>
      </w:tblGrid>
      <w:tr w:rsidR="001527B5" w:rsidRPr="007F00C7" w14:paraId="59BC39D5" w14:textId="77777777" w:rsidTr="00513AA2">
        <w:trPr>
          <w:cantSplit/>
          <w:tblHeader/>
          <w:jc w:val="center"/>
        </w:trPr>
        <w:tc>
          <w:tcPr>
            <w:tcW w:w="2655" w:type="dxa"/>
            <w:tcBorders>
              <w:top w:val="single" w:sz="12" w:space="0" w:color="auto"/>
              <w:left w:val="nil"/>
              <w:bottom w:val="nil"/>
              <w:right w:val="nil"/>
            </w:tcBorders>
            <w:shd w:val="clear" w:color="auto" w:fill="FFFFFF"/>
            <w:tcMar>
              <w:top w:w="0" w:type="dxa"/>
              <w:left w:w="0" w:type="dxa"/>
              <w:bottom w:w="0" w:type="dxa"/>
              <w:right w:w="0" w:type="dxa"/>
            </w:tcMar>
          </w:tcPr>
          <w:p w14:paraId="0000012D" w14:textId="77777777" w:rsidR="001527B5" w:rsidRPr="007F00C7" w:rsidRDefault="001527B5">
            <w:pPr>
              <w:pBdr>
                <w:top w:val="none" w:sz="0" w:space="0" w:color="000000"/>
                <w:left w:val="none" w:sz="0" w:space="0" w:color="000000"/>
                <w:bottom w:val="none" w:sz="0" w:space="0" w:color="000000"/>
                <w:right w:val="none" w:sz="0" w:space="0" w:color="000000"/>
              </w:pBdr>
              <w:spacing w:before="100"/>
              <w:ind w:left="100" w:right="100"/>
              <w:jc w:val="center"/>
              <w:rPr>
                <w:rFonts w:ascii="Times New Roman" w:hAnsi="Times New Roman" w:cs="Times New Roman"/>
              </w:rPr>
            </w:pPr>
          </w:p>
        </w:tc>
        <w:tc>
          <w:tcPr>
            <w:tcW w:w="2295" w:type="dxa"/>
            <w:gridSpan w:val="2"/>
            <w:tcBorders>
              <w:top w:val="single" w:sz="12" w:space="0" w:color="auto"/>
              <w:left w:val="nil"/>
              <w:bottom w:val="single" w:sz="8" w:space="0" w:color="auto"/>
              <w:right w:val="nil"/>
            </w:tcBorders>
            <w:shd w:val="clear" w:color="auto" w:fill="FFFFFF"/>
            <w:tcMar>
              <w:top w:w="0" w:type="dxa"/>
              <w:left w:w="0" w:type="dxa"/>
              <w:bottom w:w="0" w:type="dxa"/>
              <w:right w:w="0" w:type="dxa"/>
            </w:tcMar>
          </w:tcPr>
          <w:p w14:paraId="0000012E" w14:textId="557E77EB" w:rsidR="001527B5" w:rsidRPr="007F00C7" w:rsidRDefault="00513AA2" w:rsidP="00513AA2">
            <w:pPr>
              <w:pBdr>
                <w:top w:val="none" w:sz="0" w:space="0" w:color="000000"/>
                <w:left w:val="none" w:sz="0" w:space="0" w:color="000000"/>
                <w:bottom w:val="none" w:sz="0" w:space="0" w:color="000000"/>
                <w:right w:val="none" w:sz="0" w:space="0" w:color="000000"/>
              </w:pBdr>
              <w:spacing w:before="100"/>
              <w:ind w:left="100" w:right="100"/>
              <w:jc w:val="center"/>
              <w:rPr>
                <w:rFonts w:ascii="Times New Roman" w:hAnsi="Times New Roman" w:cs="Times New Roman"/>
              </w:rPr>
            </w:pPr>
            <w:r w:rsidRPr="007F00C7">
              <w:rPr>
                <w:rFonts w:ascii="Times New Roman" w:hAnsi="Times New Roman" w:cs="Times New Roman"/>
                <w:color w:val="000000"/>
                <w:sz w:val="20"/>
                <w:szCs w:val="20"/>
              </w:rPr>
              <w:t xml:space="preserve">        GBM</w:t>
            </w:r>
          </w:p>
        </w:tc>
        <w:tc>
          <w:tcPr>
            <w:tcW w:w="915" w:type="dxa"/>
            <w:tcBorders>
              <w:top w:val="single" w:sz="12" w:space="0" w:color="auto"/>
              <w:left w:val="nil"/>
              <w:bottom w:val="single" w:sz="8" w:space="0" w:color="auto"/>
              <w:right w:val="nil"/>
            </w:tcBorders>
            <w:shd w:val="clear" w:color="auto" w:fill="FFFFFF"/>
            <w:tcMar>
              <w:top w:w="0" w:type="dxa"/>
              <w:left w:w="0" w:type="dxa"/>
              <w:bottom w:w="0" w:type="dxa"/>
              <w:right w:w="0" w:type="dxa"/>
            </w:tcMar>
          </w:tcPr>
          <w:p w14:paraId="00000130" w14:textId="77777777" w:rsidR="001527B5" w:rsidRPr="007F00C7" w:rsidRDefault="00000000" w:rsidP="00513AA2">
            <w:pPr>
              <w:pBdr>
                <w:top w:val="none" w:sz="0" w:space="0" w:color="000000"/>
                <w:left w:val="none" w:sz="0" w:space="0" w:color="000000"/>
                <w:bottom w:val="none" w:sz="0" w:space="0" w:color="000000"/>
                <w:right w:val="none" w:sz="0" w:space="0" w:color="000000"/>
              </w:pBdr>
              <w:spacing w:before="100"/>
              <w:ind w:left="100" w:right="100"/>
              <w:jc w:val="right"/>
              <w:rPr>
                <w:rFonts w:ascii="Times New Roman" w:hAnsi="Times New Roman" w:cs="Times New Roman"/>
              </w:rPr>
            </w:pPr>
            <w:r w:rsidRPr="007F00C7">
              <w:rPr>
                <w:rFonts w:ascii="Times New Roman" w:hAnsi="Times New Roman" w:cs="Times New Roman"/>
                <w:color w:val="000000"/>
                <w:sz w:val="20"/>
                <w:szCs w:val="20"/>
              </w:rPr>
              <w:t>GAM</w:t>
            </w:r>
          </w:p>
        </w:tc>
      </w:tr>
      <w:tr w:rsidR="001527B5" w:rsidRPr="007F00C7" w14:paraId="25037E6A" w14:textId="77777777" w:rsidTr="00513AA2">
        <w:trPr>
          <w:cantSplit/>
          <w:tblHeader/>
          <w:jc w:val="center"/>
        </w:trPr>
        <w:tc>
          <w:tcPr>
            <w:tcW w:w="2655" w:type="dxa"/>
            <w:tcBorders>
              <w:top w:val="nil"/>
              <w:left w:val="nil"/>
              <w:bottom w:val="single" w:sz="8" w:space="0" w:color="auto"/>
              <w:right w:val="nil"/>
            </w:tcBorders>
            <w:shd w:val="clear" w:color="auto" w:fill="FFFFFF"/>
            <w:tcMar>
              <w:top w:w="0" w:type="dxa"/>
              <w:left w:w="0" w:type="dxa"/>
              <w:bottom w:w="0" w:type="dxa"/>
              <w:right w:w="0" w:type="dxa"/>
            </w:tcMar>
          </w:tcPr>
          <w:p w14:paraId="00000131" w14:textId="77777777" w:rsidR="001527B5" w:rsidRPr="007F00C7" w:rsidRDefault="00000000">
            <w:pPr>
              <w:pBdr>
                <w:top w:val="none" w:sz="0" w:space="0" w:color="000000"/>
                <w:left w:val="none" w:sz="0" w:space="0" w:color="000000"/>
                <w:bottom w:val="none" w:sz="0" w:space="0" w:color="000000"/>
                <w:right w:val="none" w:sz="0" w:space="0" w:color="000000"/>
              </w:pBdr>
              <w:spacing w:before="100"/>
              <w:ind w:left="100" w:right="100"/>
              <w:rPr>
                <w:rFonts w:ascii="Times New Roman" w:hAnsi="Times New Roman" w:cs="Times New Roman"/>
              </w:rPr>
            </w:pPr>
            <w:r w:rsidRPr="007F00C7">
              <w:rPr>
                <w:rFonts w:ascii="Times New Roman" w:hAnsi="Times New Roman" w:cs="Times New Roman"/>
                <w:color w:val="000000"/>
                <w:sz w:val="20"/>
                <w:szCs w:val="20"/>
              </w:rPr>
              <w:t>Response</w:t>
            </w:r>
          </w:p>
        </w:tc>
        <w:tc>
          <w:tcPr>
            <w:tcW w:w="1335" w:type="dxa"/>
            <w:tcBorders>
              <w:top w:val="single" w:sz="8" w:space="0" w:color="auto"/>
              <w:left w:val="nil"/>
              <w:bottom w:val="single" w:sz="8" w:space="0" w:color="auto"/>
              <w:right w:val="nil"/>
            </w:tcBorders>
            <w:shd w:val="clear" w:color="auto" w:fill="FFFFFF"/>
            <w:tcMar>
              <w:top w:w="0" w:type="dxa"/>
              <w:left w:w="0" w:type="dxa"/>
              <w:bottom w:w="0" w:type="dxa"/>
              <w:right w:w="0" w:type="dxa"/>
            </w:tcMar>
          </w:tcPr>
          <w:p w14:paraId="00000132" w14:textId="77777777" w:rsidR="001527B5" w:rsidRPr="007F00C7" w:rsidRDefault="00000000">
            <w:pPr>
              <w:pBdr>
                <w:top w:val="none" w:sz="0" w:space="0" w:color="000000"/>
                <w:left w:val="none" w:sz="0" w:space="0" w:color="000000"/>
                <w:bottom w:val="none" w:sz="0" w:space="0" w:color="000000"/>
                <w:right w:val="none" w:sz="0" w:space="0" w:color="000000"/>
              </w:pBdr>
              <w:spacing w:before="100"/>
              <w:ind w:left="100" w:right="100"/>
              <w:jc w:val="right"/>
              <w:rPr>
                <w:rFonts w:ascii="Times New Roman" w:hAnsi="Times New Roman" w:cs="Times New Roman"/>
              </w:rPr>
            </w:pPr>
            <w:r w:rsidRPr="007F00C7">
              <w:rPr>
                <w:rFonts w:ascii="Times New Roman" w:hAnsi="Times New Roman" w:cs="Times New Roman"/>
                <w:color w:val="000000"/>
                <w:sz w:val="20"/>
                <w:szCs w:val="20"/>
              </w:rPr>
              <w:t>Training error</w:t>
            </w:r>
          </w:p>
        </w:tc>
        <w:tc>
          <w:tcPr>
            <w:tcW w:w="960" w:type="dxa"/>
            <w:tcBorders>
              <w:top w:val="single" w:sz="8" w:space="0" w:color="auto"/>
              <w:left w:val="nil"/>
              <w:bottom w:val="single" w:sz="8" w:space="0" w:color="auto"/>
              <w:right w:val="nil"/>
            </w:tcBorders>
            <w:shd w:val="clear" w:color="auto" w:fill="FFFFFF"/>
            <w:tcMar>
              <w:top w:w="0" w:type="dxa"/>
              <w:left w:w="0" w:type="dxa"/>
              <w:bottom w:w="0" w:type="dxa"/>
              <w:right w:w="0" w:type="dxa"/>
            </w:tcMar>
          </w:tcPr>
          <w:p w14:paraId="00000133" w14:textId="64DF2F45" w:rsidR="001527B5" w:rsidRPr="007F00C7" w:rsidRDefault="00000000">
            <w:pPr>
              <w:pBdr>
                <w:top w:val="none" w:sz="0" w:space="0" w:color="000000"/>
                <w:left w:val="none" w:sz="0" w:space="0" w:color="000000"/>
                <w:bottom w:val="none" w:sz="0" w:space="0" w:color="000000"/>
                <w:right w:val="none" w:sz="0" w:space="0" w:color="000000"/>
              </w:pBdr>
              <w:spacing w:before="100"/>
              <w:ind w:left="100" w:right="100"/>
              <w:jc w:val="right"/>
              <w:rPr>
                <w:rFonts w:ascii="Times New Roman" w:hAnsi="Times New Roman" w:cs="Times New Roman"/>
              </w:rPr>
            </w:pPr>
            <w:r w:rsidRPr="007F00C7">
              <w:rPr>
                <w:rFonts w:ascii="Times New Roman" w:hAnsi="Times New Roman" w:cs="Times New Roman"/>
                <w:color w:val="000000"/>
                <w:sz w:val="20"/>
                <w:szCs w:val="20"/>
              </w:rPr>
              <w:t>C</w:t>
            </w:r>
            <w:r w:rsidR="0056410C" w:rsidRPr="007F00C7">
              <w:rPr>
                <w:rFonts w:ascii="Times New Roman" w:hAnsi="Times New Roman" w:cs="Times New Roman"/>
                <w:color w:val="000000"/>
                <w:sz w:val="20"/>
                <w:szCs w:val="20"/>
              </w:rPr>
              <w:t xml:space="preserve">V </w:t>
            </w:r>
            <w:r w:rsidRPr="007F00C7">
              <w:rPr>
                <w:rFonts w:ascii="Times New Roman" w:hAnsi="Times New Roman" w:cs="Times New Roman"/>
                <w:color w:val="000000"/>
                <w:sz w:val="20"/>
                <w:szCs w:val="20"/>
              </w:rPr>
              <w:t>error</w:t>
            </w:r>
          </w:p>
        </w:tc>
        <w:tc>
          <w:tcPr>
            <w:tcW w:w="915" w:type="dxa"/>
            <w:tcBorders>
              <w:top w:val="single" w:sz="8" w:space="0" w:color="auto"/>
              <w:left w:val="nil"/>
              <w:bottom w:val="single" w:sz="8" w:space="0" w:color="auto"/>
              <w:right w:val="nil"/>
            </w:tcBorders>
            <w:shd w:val="clear" w:color="auto" w:fill="FFFFFF"/>
            <w:tcMar>
              <w:top w:w="0" w:type="dxa"/>
              <w:left w:w="0" w:type="dxa"/>
              <w:bottom w:w="0" w:type="dxa"/>
              <w:right w:w="0" w:type="dxa"/>
            </w:tcMar>
          </w:tcPr>
          <w:p w14:paraId="00000134" w14:textId="77777777" w:rsidR="001527B5" w:rsidRPr="007F00C7" w:rsidRDefault="00000000">
            <w:pPr>
              <w:pBdr>
                <w:top w:val="none" w:sz="0" w:space="0" w:color="000000"/>
                <w:left w:val="none" w:sz="0" w:space="0" w:color="000000"/>
                <w:bottom w:val="none" w:sz="0" w:space="0" w:color="000000"/>
                <w:right w:val="none" w:sz="0" w:space="0" w:color="000000"/>
              </w:pBdr>
              <w:spacing w:before="100"/>
              <w:ind w:left="100" w:right="100"/>
              <w:jc w:val="right"/>
              <w:rPr>
                <w:rFonts w:ascii="Times New Roman" w:hAnsi="Times New Roman" w:cs="Times New Roman"/>
              </w:rPr>
            </w:pPr>
            <w:r w:rsidRPr="007F00C7">
              <w:rPr>
                <w:rFonts w:ascii="Times New Roman" w:hAnsi="Times New Roman" w:cs="Times New Roman"/>
                <w:color w:val="000000"/>
                <w:sz w:val="20"/>
                <w:szCs w:val="20"/>
              </w:rPr>
              <w:t>PDE</w:t>
            </w:r>
          </w:p>
        </w:tc>
      </w:tr>
      <w:tr w:rsidR="001527B5" w:rsidRPr="007F00C7" w14:paraId="121580C7" w14:textId="77777777" w:rsidTr="00513AA2">
        <w:trPr>
          <w:cantSplit/>
          <w:jc w:val="center"/>
        </w:trPr>
        <w:tc>
          <w:tcPr>
            <w:tcW w:w="2655" w:type="dxa"/>
            <w:tcBorders>
              <w:top w:val="single" w:sz="8" w:space="0" w:color="auto"/>
              <w:left w:val="nil"/>
              <w:bottom w:val="nil"/>
              <w:right w:val="nil"/>
            </w:tcBorders>
            <w:shd w:val="clear" w:color="auto" w:fill="FFFFFF"/>
            <w:tcMar>
              <w:top w:w="0" w:type="dxa"/>
              <w:left w:w="0" w:type="dxa"/>
              <w:bottom w:w="0" w:type="dxa"/>
              <w:right w:w="0" w:type="dxa"/>
            </w:tcMar>
          </w:tcPr>
          <w:p w14:paraId="00000135" w14:textId="77777777" w:rsidR="001527B5" w:rsidRPr="007F00C7" w:rsidRDefault="00000000">
            <w:pPr>
              <w:pBdr>
                <w:top w:val="none" w:sz="0" w:space="0" w:color="000000"/>
                <w:left w:val="none" w:sz="0" w:space="0" w:color="000000"/>
                <w:bottom w:val="none" w:sz="0" w:space="0" w:color="000000"/>
                <w:right w:val="none" w:sz="0" w:space="0" w:color="000000"/>
              </w:pBdr>
              <w:spacing w:before="100"/>
              <w:ind w:left="100" w:right="100"/>
              <w:rPr>
                <w:rFonts w:ascii="Times New Roman" w:hAnsi="Times New Roman" w:cs="Times New Roman"/>
              </w:rPr>
            </w:pPr>
            <w:r w:rsidRPr="007F00C7">
              <w:rPr>
                <w:rFonts w:ascii="Times New Roman" w:hAnsi="Times New Roman" w:cs="Times New Roman"/>
                <w:color w:val="000000"/>
                <w:sz w:val="20"/>
                <w:szCs w:val="20"/>
              </w:rPr>
              <w:t>Basal area (m</w:t>
            </w:r>
            <w:r w:rsidRPr="007F00C7">
              <w:rPr>
                <w:rFonts w:ascii="Times New Roman" w:hAnsi="Times New Roman" w:cs="Times New Roman"/>
                <w:color w:val="000000"/>
                <w:sz w:val="20"/>
                <w:szCs w:val="20"/>
                <w:vertAlign w:val="superscript"/>
              </w:rPr>
              <w:t>2</w:t>
            </w:r>
            <w:r w:rsidRPr="007F00C7">
              <w:rPr>
                <w:rFonts w:ascii="Times New Roman" w:hAnsi="Times New Roman" w:cs="Times New Roman"/>
                <w:color w:val="000000"/>
                <w:sz w:val="20"/>
                <w:szCs w:val="20"/>
              </w:rPr>
              <w:t xml:space="preserve"> </w:t>
            </w:r>
            <w:proofErr w:type="gramStart"/>
            <w:r w:rsidRPr="007F00C7">
              <w:rPr>
                <w:rFonts w:ascii="Times New Roman" w:hAnsi="Times New Roman" w:cs="Times New Roman"/>
                <w:color w:val="000000"/>
                <w:sz w:val="20"/>
                <w:szCs w:val="20"/>
              </w:rPr>
              <w:t>ha</w:t>
            </w:r>
            <w:r w:rsidRPr="007F00C7">
              <w:rPr>
                <w:rFonts w:ascii="Times New Roman" w:hAnsi="Times New Roman" w:cs="Times New Roman"/>
                <w:color w:val="000000"/>
                <w:sz w:val="20"/>
                <w:szCs w:val="20"/>
                <w:vertAlign w:val="superscript"/>
              </w:rPr>
              <w:t>–1</w:t>
            </w:r>
            <w:proofErr w:type="gramEnd"/>
            <w:r w:rsidRPr="007F00C7">
              <w:rPr>
                <w:rFonts w:ascii="Times New Roman" w:hAnsi="Times New Roman" w:cs="Times New Roman"/>
                <w:color w:val="000000"/>
                <w:sz w:val="20"/>
                <w:szCs w:val="20"/>
              </w:rPr>
              <w:t>)</w:t>
            </w:r>
          </w:p>
        </w:tc>
        <w:tc>
          <w:tcPr>
            <w:tcW w:w="1335" w:type="dxa"/>
            <w:tcBorders>
              <w:top w:val="single" w:sz="8" w:space="0" w:color="auto"/>
              <w:left w:val="nil"/>
              <w:bottom w:val="nil"/>
              <w:right w:val="nil"/>
            </w:tcBorders>
            <w:shd w:val="clear" w:color="auto" w:fill="FFFFFF"/>
            <w:tcMar>
              <w:top w:w="0" w:type="dxa"/>
              <w:left w:w="0" w:type="dxa"/>
              <w:bottom w:w="0" w:type="dxa"/>
              <w:right w:w="0" w:type="dxa"/>
            </w:tcMar>
          </w:tcPr>
          <w:p w14:paraId="00000136" w14:textId="77777777" w:rsidR="001527B5" w:rsidRPr="007F00C7" w:rsidRDefault="00000000">
            <w:pPr>
              <w:pBdr>
                <w:top w:val="none" w:sz="0" w:space="0" w:color="000000"/>
                <w:left w:val="none" w:sz="0" w:space="0" w:color="000000"/>
                <w:bottom w:val="none" w:sz="0" w:space="0" w:color="000000"/>
                <w:right w:val="none" w:sz="0" w:space="0" w:color="000000"/>
              </w:pBdr>
              <w:spacing w:before="100"/>
              <w:ind w:left="100" w:right="100"/>
              <w:jc w:val="right"/>
              <w:rPr>
                <w:rFonts w:ascii="Times New Roman" w:hAnsi="Times New Roman" w:cs="Times New Roman"/>
              </w:rPr>
            </w:pPr>
            <w:r w:rsidRPr="007F00C7">
              <w:rPr>
                <w:rFonts w:ascii="Times New Roman" w:hAnsi="Times New Roman" w:cs="Times New Roman"/>
                <w:color w:val="000000"/>
                <w:sz w:val="20"/>
                <w:szCs w:val="20"/>
              </w:rPr>
              <w:t>7.46</w:t>
            </w:r>
          </w:p>
        </w:tc>
        <w:tc>
          <w:tcPr>
            <w:tcW w:w="960" w:type="dxa"/>
            <w:tcBorders>
              <w:top w:val="single" w:sz="8" w:space="0" w:color="auto"/>
              <w:left w:val="nil"/>
              <w:bottom w:val="nil"/>
              <w:right w:val="nil"/>
            </w:tcBorders>
            <w:shd w:val="clear" w:color="auto" w:fill="FFFFFF"/>
            <w:tcMar>
              <w:top w:w="0" w:type="dxa"/>
              <w:left w:w="0" w:type="dxa"/>
              <w:bottom w:w="0" w:type="dxa"/>
              <w:right w:w="0" w:type="dxa"/>
            </w:tcMar>
          </w:tcPr>
          <w:p w14:paraId="00000137" w14:textId="77777777" w:rsidR="001527B5" w:rsidRPr="007F00C7" w:rsidRDefault="00000000">
            <w:pPr>
              <w:pBdr>
                <w:top w:val="none" w:sz="0" w:space="0" w:color="000000"/>
                <w:left w:val="none" w:sz="0" w:space="0" w:color="000000"/>
                <w:bottom w:val="none" w:sz="0" w:space="0" w:color="000000"/>
                <w:right w:val="none" w:sz="0" w:space="0" w:color="000000"/>
              </w:pBdr>
              <w:spacing w:before="100"/>
              <w:ind w:left="100" w:right="100"/>
              <w:jc w:val="right"/>
              <w:rPr>
                <w:rFonts w:ascii="Times New Roman" w:hAnsi="Times New Roman" w:cs="Times New Roman"/>
              </w:rPr>
            </w:pPr>
            <w:r w:rsidRPr="007F00C7">
              <w:rPr>
                <w:rFonts w:ascii="Times New Roman" w:hAnsi="Times New Roman" w:cs="Times New Roman"/>
                <w:color w:val="000000"/>
                <w:sz w:val="20"/>
                <w:szCs w:val="20"/>
              </w:rPr>
              <w:t>17.60</w:t>
            </w:r>
          </w:p>
        </w:tc>
        <w:tc>
          <w:tcPr>
            <w:tcW w:w="915" w:type="dxa"/>
            <w:tcBorders>
              <w:top w:val="single" w:sz="8" w:space="0" w:color="auto"/>
              <w:left w:val="nil"/>
              <w:bottom w:val="nil"/>
              <w:right w:val="nil"/>
            </w:tcBorders>
            <w:shd w:val="clear" w:color="auto" w:fill="FFFFFF"/>
            <w:tcMar>
              <w:top w:w="0" w:type="dxa"/>
              <w:left w:w="0" w:type="dxa"/>
              <w:bottom w:w="0" w:type="dxa"/>
              <w:right w:w="0" w:type="dxa"/>
            </w:tcMar>
          </w:tcPr>
          <w:p w14:paraId="00000138" w14:textId="77777777" w:rsidR="001527B5" w:rsidRPr="007F00C7" w:rsidRDefault="00000000">
            <w:pPr>
              <w:pBdr>
                <w:top w:val="none" w:sz="0" w:space="0" w:color="000000"/>
                <w:left w:val="none" w:sz="0" w:space="0" w:color="000000"/>
                <w:bottom w:val="none" w:sz="0" w:space="0" w:color="000000"/>
                <w:right w:val="none" w:sz="0" w:space="0" w:color="000000"/>
              </w:pBdr>
              <w:spacing w:before="100"/>
              <w:ind w:left="100" w:right="100"/>
              <w:jc w:val="right"/>
              <w:rPr>
                <w:rFonts w:ascii="Times New Roman" w:hAnsi="Times New Roman" w:cs="Times New Roman"/>
              </w:rPr>
            </w:pPr>
            <w:r w:rsidRPr="007F00C7">
              <w:rPr>
                <w:rFonts w:ascii="Times New Roman" w:hAnsi="Times New Roman" w:cs="Times New Roman"/>
                <w:color w:val="000000"/>
                <w:sz w:val="20"/>
                <w:szCs w:val="20"/>
              </w:rPr>
              <w:t>64.2</w:t>
            </w:r>
          </w:p>
        </w:tc>
      </w:tr>
      <w:tr w:rsidR="001527B5" w:rsidRPr="007F00C7" w14:paraId="5DFA04B8" w14:textId="77777777" w:rsidTr="0056410C">
        <w:trPr>
          <w:cantSplit/>
          <w:jc w:val="center"/>
        </w:trPr>
        <w:tc>
          <w:tcPr>
            <w:tcW w:w="2655" w:type="dxa"/>
            <w:tcBorders>
              <w:top w:val="nil"/>
              <w:left w:val="nil"/>
              <w:bottom w:val="nil"/>
              <w:right w:val="nil"/>
            </w:tcBorders>
            <w:shd w:val="clear" w:color="auto" w:fill="FFFFFF"/>
            <w:tcMar>
              <w:top w:w="0" w:type="dxa"/>
              <w:left w:w="0" w:type="dxa"/>
              <w:bottom w:w="0" w:type="dxa"/>
              <w:right w:w="0" w:type="dxa"/>
            </w:tcMar>
          </w:tcPr>
          <w:p w14:paraId="00000139" w14:textId="77777777" w:rsidR="001527B5" w:rsidRPr="007F00C7" w:rsidRDefault="00000000">
            <w:pPr>
              <w:pBdr>
                <w:top w:val="none" w:sz="0" w:space="0" w:color="000000"/>
                <w:left w:val="none" w:sz="0" w:space="0" w:color="000000"/>
                <w:bottom w:val="none" w:sz="0" w:space="0" w:color="000000"/>
                <w:right w:val="none" w:sz="0" w:space="0" w:color="000000"/>
              </w:pBdr>
              <w:spacing w:before="100"/>
              <w:ind w:left="100" w:right="100"/>
              <w:rPr>
                <w:rFonts w:ascii="Times New Roman" w:hAnsi="Times New Roman" w:cs="Times New Roman"/>
              </w:rPr>
            </w:pPr>
            <w:r w:rsidRPr="007F00C7">
              <w:rPr>
                <w:rFonts w:ascii="Times New Roman" w:hAnsi="Times New Roman" w:cs="Times New Roman"/>
                <w:color w:val="000000"/>
                <w:sz w:val="20"/>
                <w:szCs w:val="20"/>
              </w:rPr>
              <w:t>Height 95P (m)</w:t>
            </w:r>
          </w:p>
        </w:tc>
        <w:tc>
          <w:tcPr>
            <w:tcW w:w="1335" w:type="dxa"/>
            <w:tcBorders>
              <w:top w:val="nil"/>
              <w:left w:val="nil"/>
              <w:bottom w:val="nil"/>
              <w:right w:val="nil"/>
            </w:tcBorders>
            <w:shd w:val="clear" w:color="auto" w:fill="FFFFFF"/>
            <w:tcMar>
              <w:top w:w="0" w:type="dxa"/>
              <w:left w:w="0" w:type="dxa"/>
              <w:bottom w:w="0" w:type="dxa"/>
              <w:right w:w="0" w:type="dxa"/>
            </w:tcMar>
          </w:tcPr>
          <w:p w14:paraId="0000013A" w14:textId="77777777" w:rsidR="001527B5" w:rsidRPr="007F00C7" w:rsidRDefault="00000000">
            <w:pPr>
              <w:pBdr>
                <w:top w:val="none" w:sz="0" w:space="0" w:color="000000"/>
                <w:left w:val="none" w:sz="0" w:space="0" w:color="000000"/>
                <w:bottom w:val="none" w:sz="0" w:space="0" w:color="000000"/>
                <w:right w:val="none" w:sz="0" w:space="0" w:color="000000"/>
              </w:pBdr>
              <w:spacing w:before="100"/>
              <w:ind w:left="100" w:right="100"/>
              <w:jc w:val="right"/>
              <w:rPr>
                <w:rFonts w:ascii="Times New Roman" w:hAnsi="Times New Roman" w:cs="Times New Roman"/>
              </w:rPr>
            </w:pPr>
            <w:r w:rsidRPr="007F00C7">
              <w:rPr>
                <w:rFonts w:ascii="Times New Roman" w:hAnsi="Times New Roman" w:cs="Times New Roman"/>
                <w:color w:val="000000"/>
                <w:sz w:val="20"/>
                <w:szCs w:val="20"/>
              </w:rPr>
              <w:t>2.18</w:t>
            </w:r>
          </w:p>
        </w:tc>
        <w:tc>
          <w:tcPr>
            <w:tcW w:w="960" w:type="dxa"/>
            <w:tcBorders>
              <w:top w:val="nil"/>
              <w:left w:val="nil"/>
              <w:bottom w:val="nil"/>
              <w:right w:val="nil"/>
            </w:tcBorders>
            <w:shd w:val="clear" w:color="auto" w:fill="FFFFFF"/>
            <w:tcMar>
              <w:top w:w="0" w:type="dxa"/>
              <w:left w:w="0" w:type="dxa"/>
              <w:bottom w:w="0" w:type="dxa"/>
              <w:right w:w="0" w:type="dxa"/>
            </w:tcMar>
          </w:tcPr>
          <w:p w14:paraId="0000013B" w14:textId="77777777" w:rsidR="001527B5" w:rsidRPr="007F00C7" w:rsidRDefault="00000000">
            <w:pPr>
              <w:pBdr>
                <w:top w:val="none" w:sz="0" w:space="0" w:color="000000"/>
                <w:left w:val="none" w:sz="0" w:space="0" w:color="000000"/>
                <w:bottom w:val="none" w:sz="0" w:space="0" w:color="000000"/>
                <w:right w:val="none" w:sz="0" w:space="0" w:color="000000"/>
              </w:pBdr>
              <w:spacing w:before="100"/>
              <w:ind w:left="100" w:right="100"/>
              <w:jc w:val="right"/>
              <w:rPr>
                <w:rFonts w:ascii="Times New Roman" w:hAnsi="Times New Roman" w:cs="Times New Roman"/>
              </w:rPr>
            </w:pPr>
            <w:r w:rsidRPr="007F00C7">
              <w:rPr>
                <w:rFonts w:ascii="Times New Roman" w:hAnsi="Times New Roman" w:cs="Times New Roman"/>
                <w:color w:val="000000"/>
                <w:sz w:val="20"/>
                <w:szCs w:val="20"/>
              </w:rPr>
              <w:t>4.02</w:t>
            </w:r>
          </w:p>
        </w:tc>
        <w:tc>
          <w:tcPr>
            <w:tcW w:w="915" w:type="dxa"/>
            <w:tcBorders>
              <w:top w:val="nil"/>
              <w:left w:val="nil"/>
              <w:bottom w:val="nil"/>
              <w:right w:val="nil"/>
            </w:tcBorders>
            <w:shd w:val="clear" w:color="auto" w:fill="FFFFFF"/>
            <w:tcMar>
              <w:top w:w="0" w:type="dxa"/>
              <w:left w:w="0" w:type="dxa"/>
              <w:bottom w:w="0" w:type="dxa"/>
              <w:right w:w="0" w:type="dxa"/>
            </w:tcMar>
          </w:tcPr>
          <w:p w14:paraId="0000013C" w14:textId="77777777" w:rsidR="001527B5" w:rsidRPr="007F00C7" w:rsidRDefault="00000000">
            <w:pPr>
              <w:pBdr>
                <w:top w:val="none" w:sz="0" w:space="0" w:color="000000"/>
                <w:left w:val="none" w:sz="0" w:space="0" w:color="000000"/>
                <w:bottom w:val="none" w:sz="0" w:space="0" w:color="000000"/>
                <w:right w:val="none" w:sz="0" w:space="0" w:color="000000"/>
              </w:pBdr>
              <w:spacing w:before="100"/>
              <w:ind w:left="100" w:right="100"/>
              <w:jc w:val="right"/>
              <w:rPr>
                <w:rFonts w:ascii="Times New Roman" w:hAnsi="Times New Roman" w:cs="Times New Roman"/>
              </w:rPr>
            </w:pPr>
            <w:r w:rsidRPr="007F00C7">
              <w:rPr>
                <w:rFonts w:ascii="Times New Roman" w:hAnsi="Times New Roman" w:cs="Times New Roman"/>
                <w:color w:val="000000"/>
                <w:sz w:val="20"/>
                <w:szCs w:val="20"/>
              </w:rPr>
              <w:t>61.0</w:t>
            </w:r>
          </w:p>
        </w:tc>
      </w:tr>
      <w:tr w:rsidR="001527B5" w:rsidRPr="007F00C7" w14:paraId="5B93EA0C" w14:textId="77777777" w:rsidTr="0056410C">
        <w:trPr>
          <w:cantSplit/>
          <w:jc w:val="center"/>
        </w:trPr>
        <w:tc>
          <w:tcPr>
            <w:tcW w:w="2655" w:type="dxa"/>
            <w:tcBorders>
              <w:top w:val="nil"/>
              <w:left w:val="nil"/>
              <w:bottom w:val="nil"/>
              <w:right w:val="nil"/>
            </w:tcBorders>
            <w:shd w:val="clear" w:color="auto" w:fill="FFFFFF"/>
            <w:tcMar>
              <w:top w:w="0" w:type="dxa"/>
              <w:left w:w="0" w:type="dxa"/>
              <w:bottom w:w="0" w:type="dxa"/>
              <w:right w:w="0" w:type="dxa"/>
            </w:tcMar>
          </w:tcPr>
          <w:p w14:paraId="0000013D" w14:textId="77777777" w:rsidR="001527B5" w:rsidRPr="007F00C7" w:rsidRDefault="00000000">
            <w:pPr>
              <w:pBdr>
                <w:top w:val="none" w:sz="0" w:space="0" w:color="000000"/>
                <w:left w:val="none" w:sz="0" w:space="0" w:color="000000"/>
                <w:bottom w:val="none" w:sz="0" w:space="0" w:color="000000"/>
                <w:right w:val="none" w:sz="0" w:space="0" w:color="000000"/>
              </w:pBdr>
              <w:spacing w:before="100"/>
              <w:ind w:left="100" w:right="100"/>
              <w:rPr>
                <w:rFonts w:ascii="Times New Roman" w:hAnsi="Times New Roman" w:cs="Times New Roman"/>
              </w:rPr>
            </w:pPr>
            <w:r w:rsidRPr="007F00C7">
              <w:rPr>
                <w:rFonts w:ascii="Times New Roman" w:hAnsi="Times New Roman" w:cs="Times New Roman"/>
                <w:color w:val="000000"/>
                <w:sz w:val="20"/>
                <w:szCs w:val="20"/>
              </w:rPr>
              <w:t>Height skew (unitless)</w:t>
            </w:r>
          </w:p>
        </w:tc>
        <w:tc>
          <w:tcPr>
            <w:tcW w:w="1335" w:type="dxa"/>
            <w:tcBorders>
              <w:top w:val="nil"/>
              <w:left w:val="nil"/>
              <w:bottom w:val="nil"/>
              <w:right w:val="nil"/>
            </w:tcBorders>
            <w:shd w:val="clear" w:color="auto" w:fill="FFFFFF"/>
            <w:tcMar>
              <w:top w:w="0" w:type="dxa"/>
              <w:left w:w="0" w:type="dxa"/>
              <w:bottom w:w="0" w:type="dxa"/>
              <w:right w:w="0" w:type="dxa"/>
            </w:tcMar>
          </w:tcPr>
          <w:p w14:paraId="0000013E" w14:textId="77777777" w:rsidR="001527B5" w:rsidRPr="007F00C7" w:rsidRDefault="00000000">
            <w:pPr>
              <w:pBdr>
                <w:top w:val="none" w:sz="0" w:space="0" w:color="000000"/>
                <w:left w:val="none" w:sz="0" w:space="0" w:color="000000"/>
                <w:bottom w:val="none" w:sz="0" w:space="0" w:color="000000"/>
                <w:right w:val="none" w:sz="0" w:space="0" w:color="000000"/>
              </w:pBdr>
              <w:spacing w:before="100"/>
              <w:ind w:left="100" w:right="100"/>
              <w:jc w:val="right"/>
              <w:rPr>
                <w:rFonts w:ascii="Times New Roman" w:hAnsi="Times New Roman" w:cs="Times New Roman"/>
              </w:rPr>
            </w:pPr>
            <w:r w:rsidRPr="007F00C7">
              <w:rPr>
                <w:rFonts w:ascii="Times New Roman" w:hAnsi="Times New Roman" w:cs="Times New Roman"/>
                <w:color w:val="000000"/>
                <w:sz w:val="20"/>
                <w:szCs w:val="20"/>
              </w:rPr>
              <w:t>0.52</w:t>
            </w:r>
          </w:p>
        </w:tc>
        <w:tc>
          <w:tcPr>
            <w:tcW w:w="960" w:type="dxa"/>
            <w:tcBorders>
              <w:top w:val="nil"/>
              <w:left w:val="nil"/>
              <w:bottom w:val="nil"/>
              <w:right w:val="nil"/>
            </w:tcBorders>
            <w:shd w:val="clear" w:color="auto" w:fill="FFFFFF"/>
            <w:tcMar>
              <w:top w:w="0" w:type="dxa"/>
              <w:left w:w="0" w:type="dxa"/>
              <w:bottom w:w="0" w:type="dxa"/>
              <w:right w:w="0" w:type="dxa"/>
            </w:tcMar>
          </w:tcPr>
          <w:p w14:paraId="0000013F" w14:textId="77777777" w:rsidR="001527B5" w:rsidRPr="007F00C7" w:rsidRDefault="00000000">
            <w:pPr>
              <w:pBdr>
                <w:top w:val="none" w:sz="0" w:space="0" w:color="000000"/>
                <w:left w:val="none" w:sz="0" w:space="0" w:color="000000"/>
                <w:bottom w:val="none" w:sz="0" w:space="0" w:color="000000"/>
                <w:right w:val="none" w:sz="0" w:space="0" w:color="000000"/>
              </w:pBdr>
              <w:spacing w:before="100"/>
              <w:ind w:left="100" w:right="100"/>
              <w:jc w:val="right"/>
              <w:rPr>
                <w:rFonts w:ascii="Times New Roman" w:hAnsi="Times New Roman" w:cs="Times New Roman"/>
              </w:rPr>
            </w:pPr>
            <w:r w:rsidRPr="007F00C7">
              <w:rPr>
                <w:rFonts w:ascii="Times New Roman" w:hAnsi="Times New Roman" w:cs="Times New Roman"/>
                <w:color w:val="000000"/>
                <w:sz w:val="20"/>
                <w:szCs w:val="20"/>
              </w:rPr>
              <w:t>0.68</w:t>
            </w:r>
          </w:p>
        </w:tc>
        <w:tc>
          <w:tcPr>
            <w:tcW w:w="915" w:type="dxa"/>
            <w:tcBorders>
              <w:top w:val="nil"/>
              <w:left w:val="nil"/>
              <w:bottom w:val="nil"/>
              <w:right w:val="nil"/>
            </w:tcBorders>
            <w:shd w:val="clear" w:color="auto" w:fill="FFFFFF"/>
            <w:tcMar>
              <w:top w:w="0" w:type="dxa"/>
              <w:left w:w="0" w:type="dxa"/>
              <w:bottom w:w="0" w:type="dxa"/>
              <w:right w:w="0" w:type="dxa"/>
            </w:tcMar>
          </w:tcPr>
          <w:p w14:paraId="00000140" w14:textId="77777777" w:rsidR="001527B5" w:rsidRPr="007F00C7" w:rsidRDefault="00000000">
            <w:pPr>
              <w:pBdr>
                <w:top w:val="none" w:sz="0" w:space="0" w:color="000000"/>
                <w:left w:val="none" w:sz="0" w:space="0" w:color="000000"/>
                <w:bottom w:val="none" w:sz="0" w:space="0" w:color="000000"/>
                <w:right w:val="none" w:sz="0" w:space="0" w:color="000000"/>
              </w:pBdr>
              <w:spacing w:before="100"/>
              <w:ind w:left="100" w:right="100"/>
              <w:jc w:val="right"/>
              <w:rPr>
                <w:rFonts w:ascii="Times New Roman" w:hAnsi="Times New Roman" w:cs="Times New Roman"/>
              </w:rPr>
            </w:pPr>
            <w:r w:rsidRPr="007F00C7">
              <w:rPr>
                <w:rFonts w:ascii="Times New Roman" w:hAnsi="Times New Roman" w:cs="Times New Roman"/>
                <w:color w:val="000000"/>
                <w:sz w:val="20"/>
                <w:szCs w:val="20"/>
              </w:rPr>
              <w:t>50.4</w:t>
            </w:r>
          </w:p>
        </w:tc>
      </w:tr>
      <w:tr w:rsidR="001527B5" w:rsidRPr="007F00C7" w14:paraId="5486BB14" w14:textId="77777777" w:rsidTr="0056410C">
        <w:trPr>
          <w:cantSplit/>
          <w:jc w:val="center"/>
        </w:trPr>
        <w:tc>
          <w:tcPr>
            <w:tcW w:w="2655" w:type="dxa"/>
            <w:tcBorders>
              <w:top w:val="nil"/>
              <w:left w:val="nil"/>
              <w:bottom w:val="nil"/>
              <w:right w:val="nil"/>
            </w:tcBorders>
            <w:shd w:val="clear" w:color="auto" w:fill="FFFFFF"/>
            <w:tcMar>
              <w:top w:w="0" w:type="dxa"/>
              <w:left w:w="0" w:type="dxa"/>
              <w:bottom w:w="0" w:type="dxa"/>
              <w:right w:w="0" w:type="dxa"/>
            </w:tcMar>
          </w:tcPr>
          <w:p w14:paraId="00000141" w14:textId="77777777" w:rsidR="001527B5" w:rsidRPr="007F00C7" w:rsidRDefault="00000000">
            <w:pPr>
              <w:pBdr>
                <w:top w:val="none" w:sz="0" w:space="0" w:color="000000"/>
                <w:left w:val="none" w:sz="0" w:space="0" w:color="000000"/>
                <w:bottom w:val="none" w:sz="0" w:space="0" w:color="000000"/>
                <w:right w:val="none" w:sz="0" w:space="0" w:color="000000"/>
              </w:pBdr>
              <w:spacing w:before="100"/>
              <w:ind w:left="100" w:right="100"/>
              <w:rPr>
                <w:rFonts w:ascii="Times New Roman" w:hAnsi="Times New Roman" w:cs="Times New Roman"/>
              </w:rPr>
            </w:pPr>
            <w:r w:rsidRPr="007F00C7">
              <w:rPr>
                <w:rFonts w:ascii="Times New Roman" w:hAnsi="Times New Roman" w:cs="Times New Roman"/>
                <w:color w:val="000000"/>
                <w:sz w:val="20"/>
                <w:szCs w:val="20"/>
              </w:rPr>
              <w:t>QMD (cm)</w:t>
            </w:r>
          </w:p>
        </w:tc>
        <w:tc>
          <w:tcPr>
            <w:tcW w:w="1335" w:type="dxa"/>
            <w:tcBorders>
              <w:top w:val="nil"/>
              <w:left w:val="nil"/>
              <w:bottom w:val="nil"/>
              <w:right w:val="nil"/>
            </w:tcBorders>
            <w:shd w:val="clear" w:color="auto" w:fill="FFFFFF"/>
            <w:tcMar>
              <w:top w:w="0" w:type="dxa"/>
              <w:left w:w="0" w:type="dxa"/>
              <w:bottom w:w="0" w:type="dxa"/>
              <w:right w:w="0" w:type="dxa"/>
            </w:tcMar>
          </w:tcPr>
          <w:p w14:paraId="00000142" w14:textId="77777777" w:rsidR="001527B5" w:rsidRPr="007F00C7" w:rsidRDefault="00000000">
            <w:pPr>
              <w:pBdr>
                <w:top w:val="none" w:sz="0" w:space="0" w:color="000000"/>
                <w:left w:val="none" w:sz="0" w:space="0" w:color="000000"/>
                <w:bottom w:val="none" w:sz="0" w:space="0" w:color="000000"/>
                <w:right w:val="none" w:sz="0" w:space="0" w:color="000000"/>
              </w:pBdr>
              <w:spacing w:before="100"/>
              <w:ind w:left="100" w:right="100"/>
              <w:jc w:val="right"/>
              <w:rPr>
                <w:rFonts w:ascii="Times New Roman" w:hAnsi="Times New Roman" w:cs="Times New Roman"/>
              </w:rPr>
            </w:pPr>
            <w:r w:rsidRPr="007F00C7">
              <w:rPr>
                <w:rFonts w:ascii="Times New Roman" w:hAnsi="Times New Roman" w:cs="Times New Roman"/>
                <w:color w:val="000000"/>
                <w:sz w:val="20"/>
                <w:szCs w:val="20"/>
              </w:rPr>
              <w:t>2.10</w:t>
            </w:r>
          </w:p>
        </w:tc>
        <w:tc>
          <w:tcPr>
            <w:tcW w:w="960" w:type="dxa"/>
            <w:tcBorders>
              <w:top w:val="nil"/>
              <w:left w:val="nil"/>
              <w:bottom w:val="nil"/>
              <w:right w:val="nil"/>
            </w:tcBorders>
            <w:shd w:val="clear" w:color="auto" w:fill="FFFFFF"/>
            <w:tcMar>
              <w:top w:w="0" w:type="dxa"/>
              <w:left w:w="0" w:type="dxa"/>
              <w:bottom w:w="0" w:type="dxa"/>
              <w:right w:w="0" w:type="dxa"/>
            </w:tcMar>
          </w:tcPr>
          <w:p w14:paraId="00000143" w14:textId="77777777" w:rsidR="001527B5" w:rsidRPr="007F00C7" w:rsidRDefault="00000000">
            <w:pPr>
              <w:pBdr>
                <w:top w:val="none" w:sz="0" w:space="0" w:color="000000"/>
                <w:left w:val="none" w:sz="0" w:space="0" w:color="000000"/>
                <w:bottom w:val="none" w:sz="0" w:space="0" w:color="000000"/>
                <w:right w:val="none" w:sz="0" w:space="0" w:color="000000"/>
              </w:pBdr>
              <w:spacing w:before="100"/>
              <w:ind w:left="100" w:right="100"/>
              <w:jc w:val="right"/>
              <w:rPr>
                <w:rFonts w:ascii="Times New Roman" w:hAnsi="Times New Roman" w:cs="Times New Roman"/>
              </w:rPr>
            </w:pPr>
            <w:r w:rsidRPr="007F00C7">
              <w:rPr>
                <w:rFonts w:ascii="Times New Roman" w:hAnsi="Times New Roman" w:cs="Times New Roman"/>
                <w:color w:val="000000"/>
                <w:sz w:val="20"/>
                <w:szCs w:val="20"/>
              </w:rPr>
              <w:t>3.89</w:t>
            </w:r>
          </w:p>
        </w:tc>
        <w:tc>
          <w:tcPr>
            <w:tcW w:w="915" w:type="dxa"/>
            <w:tcBorders>
              <w:top w:val="nil"/>
              <w:left w:val="nil"/>
              <w:bottom w:val="nil"/>
              <w:right w:val="nil"/>
            </w:tcBorders>
            <w:shd w:val="clear" w:color="auto" w:fill="FFFFFF"/>
            <w:tcMar>
              <w:top w:w="0" w:type="dxa"/>
              <w:left w:w="0" w:type="dxa"/>
              <w:bottom w:w="0" w:type="dxa"/>
              <w:right w:w="0" w:type="dxa"/>
            </w:tcMar>
          </w:tcPr>
          <w:p w14:paraId="00000144" w14:textId="77777777" w:rsidR="001527B5" w:rsidRPr="007F00C7" w:rsidRDefault="00000000">
            <w:pPr>
              <w:pBdr>
                <w:top w:val="none" w:sz="0" w:space="0" w:color="000000"/>
                <w:left w:val="none" w:sz="0" w:space="0" w:color="000000"/>
                <w:bottom w:val="none" w:sz="0" w:space="0" w:color="000000"/>
                <w:right w:val="none" w:sz="0" w:space="0" w:color="000000"/>
              </w:pBdr>
              <w:spacing w:before="100"/>
              <w:ind w:left="100" w:right="100"/>
              <w:jc w:val="right"/>
              <w:rPr>
                <w:rFonts w:ascii="Times New Roman" w:hAnsi="Times New Roman" w:cs="Times New Roman"/>
              </w:rPr>
            </w:pPr>
            <w:r w:rsidRPr="007F00C7">
              <w:rPr>
                <w:rFonts w:ascii="Times New Roman" w:hAnsi="Times New Roman" w:cs="Times New Roman"/>
                <w:color w:val="000000"/>
                <w:sz w:val="20"/>
                <w:szCs w:val="20"/>
              </w:rPr>
              <w:t>62.4</w:t>
            </w:r>
          </w:p>
        </w:tc>
      </w:tr>
      <w:tr w:rsidR="001527B5" w:rsidRPr="007F00C7" w14:paraId="4FC3DD9C" w14:textId="77777777" w:rsidTr="0056410C">
        <w:trPr>
          <w:cantSplit/>
          <w:jc w:val="center"/>
        </w:trPr>
        <w:tc>
          <w:tcPr>
            <w:tcW w:w="2655" w:type="dxa"/>
            <w:tcBorders>
              <w:top w:val="nil"/>
              <w:left w:val="nil"/>
              <w:bottom w:val="nil"/>
              <w:right w:val="nil"/>
            </w:tcBorders>
            <w:shd w:val="clear" w:color="auto" w:fill="FFFFFF"/>
            <w:tcMar>
              <w:top w:w="0" w:type="dxa"/>
              <w:left w:w="0" w:type="dxa"/>
              <w:bottom w:w="0" w:type="dxa"/>
              <w:right w:w="0" w:type="dxa"/>
            </w:tcMar>
          </w:tcPr>
          <w:p w14:paraId="00000145" w14:textId="77777777" w:rsidR="001527B5" w:rsidRPr="007F00C7" w:rsidRDefault="00000000">
            <w:pPr>
              <w:pBdr>
                <w:top w:val="none" w:sz="0" w:space="0" w:color="000000"/>
                <w:left w:val="none" w:sz="0" w:space="0" w:color="000000"/>
                <w:bottom w:val="none" w:sz="0" w:space="0" w:color="000000"/>
                <w:right w:val="none" w:sz="0" w:space="0" w:color="000000"/>
              </w:pBdr>
              <w:spacing w:before="100"/>
              <w:ind w:left="100" w:right="100"/>
              <w:rPr>
                <w:rFonts w:ascii="Times New Roman" w:hAnsi="Times New Roman" w:cs="Times New Roman"/>
              </w:rPr>
            </w:pPr>
            <w:r w:rsidRPr="007F00C7">
              <w:rPr>
                <w:rFonts w:ascii="Times New Roman" w:hAnsi="Times New Roman" w:cs="Times New Roman"/>
                <w:color w:val="000000"/>
                <w:sz w:val="20"/>
                <w:szCs w:val="20"/>
              </w:rPr>
              <w:t xml:space="preserve">Total density (stems </w:t>
            </w:r>
            <w:proofErr w:type="gramStart"/>
            <w:r w:rsidRPr="007F00C7">
              <w:rPr>
                <w:rFonts w:ascii="Times New Roman" w:hAnsi="Times New Roman" w:cs="Times New Roman"/>
                <w:color w:val="000000"/>
                <w:sz w:val="20"/>
                <w:szCs w:val="20"/>
              </w:rPr>
              <w:t xml:space="preserve">ha </w:t>
            </w:r>
            <w:r w:rsidRPr="007F00C7">
              <w:rPr>
                <w:rFonts w:ascii="Times New Roman" w:hAnsi="Times New Roman" w:cs="Times New Roman"/>
                <w:color w:val="000000"/>
                <w:sz w:val="20"/>
                <w:szCs w:val="20"/>
                <w:vertAlign w:val="superscript"/>
              </w:rPr>
              <w:t>–1</w:t>
            </w:r>
            <w:proofErr w:type="gramEnd"/>
            <w:r w:rsidRPr="007F00C7">
              <w:rPr>
                <w:rFonts w:ascii="Times New Roman" w:hAnsi="Times New Roman" w:cs="Times New Roman"/>
                <w:color w:val="000000"/>
                <w:sz w:val="20"/>
                <w:szCs w:val="20"/>
              </w:rPr>
              <w:t>)</w:t>
            </w:r>
          </w:p>
        </w:tc>
        <w:tc>
          <w:tcPr>
            <w:tcW w:w="1335" w:type="dxa"/>
            <w:tcBorders>
              <w:top w:val="nil"/>
              <w:left w:val="nil"/>
              <w:bottom w:val="nil"/>
              <w:right w:val="nil"/>
            </w:tcBorders>
            <w:shd w:val="clear" w:color="auto" w:fill="FFFFFF"/>
            <w:tcMar>
              <w:top w:w="0" w:type="dxa"/>
              <w:left w:w="0" w:type="dxa"/>
              <w:bottom w:w="0" w:type="dxa"/>
              <w:right w:w="0" w:type="dxa"/>
            </w:tcMar>
          </w:tcPr>
          <w:p w14:paraId="00000146" w14:textId="77777777" w:rsidR="001527B5" w:rsidRPr="007F00C7" w:rsidRDefault="00000000">
            <w:pPr>
              <w:pBdr>
                <w:top w:val="none" w:sz="0" w:space="0" w:color="000000"/>
                <w:left w:val="none" w:sz="0" w:space="0" w:color="000000"/>
                <w:bottom w:val="none" w:sz="0" w:space="0" w:color="000000"/>
                <w:right w:val="none" w:sz="0" w:space="0" w:color="000000"/>
              </w:pBdr>
              <w:spacing w:before="100"/>
              <w:ind w:left="100" w:right="100"/>
              <w:jc w:val="right"/>
              <w:rPr>
                <w:rFonts w:ascii="Times New Roman" w:hAnsi="Times New Roman" w:cs="Times New Roman"/>
              </w:rPr>
            </w:pPr>
            <w:r w:rsidRPr="007F00C7">
              <w:rPr>
                <w:rFonts w:ascii="Times New Roman" w:hAnsi="Times New Roman" w:cs="Times New Roman"/>
                <w:color w:val="000000"/>
                <w:sz w:val="20"/>
                <w:szCs w:val="20"/>
              </w:rPr>
              <w:t>182.43</w:t>
            </w:r>
          </w:p>
        </w:tc>
        <w:tc>
          <w:tcPr>
            <w:tcW w:w="960" w:type="dxa"/>
            <w:tcBorders>
              <w:top w:val="nil"/>
              <w:left w:val="nil"/>
              <w:bottom w:val="nil"/>
              <w:right w:val="nil"/>
            </w:tcBorders>
            <w:shd w:val="clear" w:color="auto" w:fill="FFFFFF"/>
            <w:tcMar>
              <w:top w:w="0" w:type="dxa"/>
              <w:left w:w="0" w:type="dxa"/>
              <w:bottom w:w="0" w:type="dxa"/>
              <w:right w:w="0" w:type="dxa"/>
            </w:tcMar>
          </w:tcPr>
          <w:p w14:paraId="00000147" w14:textId="77777777" w:rsidR="001527B5" w:rsidRPr="007F00C7" w:rsidRDefault="00000000">
            <w:pPr>
              <w:pBdr>
                <w:top w:val="none" w:sz="0" w:space="0" w:color="000000"/>
                <w:left w:val="none" w:sz="0" w:space="0" w:color="000000"/>
                <w:bottom w:val="none" w:sz="0" w:space="0" w:color="000000"/>
                <w:right w:val="none" w:sz="0" w:space="0" w:color="000000"/>
              </w:pBdr>
              <w:spacing w:before="100"/>
              <w:ind w:left="100" w:right="100"/>
              <w:jc w:val="right"/>
              <w:rPr>
                <w:rFonts w:ascii="Times New Roman" w:hAnsi="Times New Roman" w:cs="Times New Roman"/>
              </w:rPr>
            </w:pPr>
            <w:r w:rsidRPr="007F00C7">
              <w:rPr>
                <w:rFonts w:ascii="Times New Roman" w:hAnsi="Times New Roman" w:cs="Times New Roman"/>
                <w:color w:val="000000"/>
                <w:sz w:val="20"/>
                <w:szCs w:val="20"/>
              </w:rPr>
              <w:t>347.14</w:t>
            </w:r>
          </w:p>
        </w:tc>
        <w:tc>
          <w:tcPr>
            <w:tcW w:w="915" w:type="dxa"/>
            <w:tcBorders>
              <w:top w:val="nil"/>
              <w:left w:val="nil"/>
              <w:bottom w:val="nil"/>
              <w:right w:val="nil"/>
            </w:tcBorders>
            <w:shd w:val="clear" w:color="auto" w:fill="FFFFFF"/>
            <w:tcMar>
              <w:top w:w="0" w:type="dxa"/>
              <w:left w:w="0" w:type="dxa"/>
              <w:bottom w:w="0" w:type="dxa"/>
              <w:right w:w="0" w:type="dxa"/>
            </w:tcMar>
          </w:tcPr>
          <w:p w14:paraId="00000148" w14:textId="77777777" w:rsidR="001527B5" w:rsidRPr="007F00C7" w:rsidRDefault="00000000">
            <w:pPr>
              <w:pBdr>
                <w:top w:val="none" w:sz="0" w:space="0" w:color="000000"/>
                <w:left w:val="none" w:sz="0" w:space="0" w:color="000000"/>
                <w:bottom w:val="none" w:sz="0" w:space="0" w:color="000000"/>
                <w:right w:val="none" w:sz="0" w:space="0" w:color="000000"/>
              </w:pBdr>
              <w:spacing w:before="100"/>
              <w:ind w:left="100" w:right="100"/>
              <w:jc w:val="right"/>
              <w:rPr>
                <w:rFonts w:ascii="Times New Roman" w:hAnsi="Times New Roman" w:cs="Times New Roman"/>
              </w:rPr>
            </w:pPr>
            <w:r w:rsidRPr="007F00C7">
              <w:rPr>
                <w:rFonts w:ascii="Times New Roman" w:hAnsi="Times New Roman" w:cs="Times New Roman"/>
                <w:color w:val="000000"/>
                <w:sz w:val="20"/>
                <w:szCs w:val="20"/>
              </w:rPr>
              <w:t>63.4</w:t>
            </w:r>
          </w:p>
        </w:tc>
      </w:tr>
      <w:tr w:rsidR="001527B5" w:rsidRPr="007F00C7" w14:paraId="2819805E" w14:textId="77777777" w:rsidTr="0056410C">
        <w:trPr>
          <w:cantSplit/>
          <w:jc w:val="center"/>
        </w:trPr>
        <w:tc>
          <w:tcPr>
            <w:tcW w:w="2655" w:type="dxa"/>
            <w:tcBorders>
              <w:top w:val="nil"/>
              <w:left w:val="nil"/>
              <w:bottom w:val="nil"/>
              <w:right w:val="nil"/>
            </w:tcBorders>
            <w:shd w:val="clear" w:color="auto" w:fill="FFFFFF"/>
            <w:tcMar>
              <w:top w:w="0" w:type="dxa"/>
              <w:left w:w="0" w:type="dxa"/>
              <w:bottom w:w="0" w:type="dxa"/>
              <w:right w:w="0" w:type="dxa"/>
            </w:tcMar>
          </w:tcPr>
          <w:p w14:paraId="00000149" w14:textId="77777777" w:rsidR="001527B5" w:rsidRPr="007F00C7" w:rsidRDefault="00000000">
            <w:pPr>
              <w:pBdr>
                <w:top w:val="none" w:sz="0" w:space="0" w:color="000000"/>
                <w:left w:val="none" w:sz="0" w:space="0" w:color="000000"/>
                <w:bottom w:val="none" w:sz="0" w:space="0" w:color="000000"/>
                <w:right w:val="none" w:sz="0" w:space="0" w:color="000000"/>
              </w:pBdr>
              <w:spacing w:before="100"/>
              <w:ind w:left="100" w:right="100"/>
              <w:rPr>
                <w:rFonts w:ascii="Times New Roman" w:hAnsi="Times New Roman" w:cs="Times New Roman"/>
              </w:rPr>
            </w:pPr>
            <w:r w:rsidRPr="007F00C7">
              <w:rPr>
                <w:rFonts w:ascii="Times New Roman" w:hAnsi="Times New Roman" w:cs="Times New Roman"/>
                <w:color w:val="000000"/>
                <w:sz w:val="20"/>
                <w:szCs w:val="20"/>
              </w:rPr>
              <w:t xml:space="preserve">Fir density (stems </w:t>
            </w:r>
            <w:proofErr w:type="gramStart"/>
            <w:r w:rsidRPr="007F00C7">
              <w:rPr>
                <w:rFonts w:ascii="Times New Roman" w:hAnsi="Times New Roman" w:cs="Times New Roman"/>
                <w:color w:val="000000"/>
                <w:sz w:val="20"/>
                <w:szCs w:val="20"/>
              </w:rPr>
              <w:t>ha</w:t>
            </w:r>
            <w:r w:rsidRPr="007F00C7">
              <w:rPr>
                <w:rFonts w:ascii="Times New Roman" w:hAnsi="Times New Roman" w:cs="Times New Roman"/>
                <w:color w:val="000000"/>
                <w:sz w:val="20"/>
                <w:szCs w:val="20"/>
                <w:vertAlign w:val="superscript"/>
              </w:rPr>
              <w:t>–1</w:t>
            </w:r>
            <w:proofErr w:type="gramEnd"/>
            <w:r w:rsidRPr="007F00C7">
              <w:rPr>
                <w:rFonts w:ascii="Times New Roman" w:hAnsi="Times New Roman" w:cs="Times New Roman"/>
                <w:color w:val="000000"/>
                <w:sz w:val="20"/>
                <w:szCs w:val="20"/>
              </w:rPr>
              <w:t>)</w:t>
            </w:r>
          </w:p>
        </w:tc>
        <w:tc>
          <w:tcPr>
            <w:tcW w:w="1335" w:type="dxa"/>
            <w:tcBorders>
              <w:top w:val="nil"/>
              <w:left w:val="nil"/>
              <w:bottom w:val="nil"/>
              <w:right w:val="nil"/>
            </w:tcBorders>
            <w:shd w:val="clear" w:color="auto" w:fill="FFFFFF"/>
            <w:tcMar>
              <w:top w:w="0" w:type="dxa"/>
              <w:left w:w="0" w:type="dxa"/>
              <w:bottom w:w="0" w:type="dxa"/>
              <w:right w:w="0" w:type="dxa"/>
            </w:tcMar>
          </w:tcPr>
          <w:p w14:paraId="0000014A" w14:textId="77777777" w:rsidR="001527B5" w:rsidRPr="007F00C7" w:rsidRDefault="00000000">
            <w:pPr>
              <w:pBdr>
                <w:top w:val="none" w:sz="0" w:space="0" w:color="000000"/>
                <w:left w:val="none" w:sz="0" w:space="0" w:color="000000"/>
                <w:bottom w:val="none" w:sz="0" w:space="0" w:color="000000"/>
                <w:right w:val="none" w:sz="0" w:space="0" w:color="000000"/>
              </w:pBdr>
              <w:spacing w:before="100"/>
              <w:ind w:left="100" w:right="100"/>
              <w:jc w:val="right"/>
              <w:rPr>
                <w:rFonts w:ascii="Times New Roman" w:hAnsi="Times New Roman" w:cs="Times New Roman"/>
              </w:rPr>
            </w:pPr>
            <w:r w:rsidRPr="007F00C7">
              <w:rPr>
                <w:rFonts w:ascii="Times New Roman" w:hAnsi="Times New Roman" w:cs="Times New Roman"/>
                <w:color w:val="000000"/>
                <w:sz w:val="20"/>
                <w:szCs w:val="20"/>
              </w:rPr>
              <w:t>11.59</w:t>
            </w:r>
          </w:p>
        </w:tc>
        <w:tc>
          <w:tcPr>
            <w:tcW w:w="960" w:type="dxa"/>
            <w:tcBorders>
              <w:top w:val="nil"/>
              <w:left w:val="nil"/>
              <w:bottom w:val="nil"/>
              <w:right w:val="nil"/>
            </w:tcBorders>
            <w:shd w:val="clear" w:color="auto" w:fill="FFFFFF"/>
            <w:tcMar>
              <w:top w:w="0" w:type="dxa"/>
              <w:left w:w="0" w:type="dxa"/>
              <w:bottom w:w="0" w:type="dxa"/>
              <w:right w:w="0" w:type="dxa"/>
            </w:tcMar>
          </w:tcPr>
          <w:p w14:paraId="0000014B" w14:textId="77777777" w:rsidR="001527B5" w:rsidRPr="007F00C7" w:rsidRDefault="00000000">
            <w:pPr>
              <w:pBdr>
                <w:top w:val="none" w:sz="0" w:space="0" w:color="000000"/>
                <w:left w:val="none" w:sz="0" w:space="0" w:color="000000"/>
                <w:bottom w:val="none" w:sz="0" w:space="0" w:color="000000"/>
                <w:right w:val="none" w:sz="0" w:space="0" w:color="000000"/>
              </w:pBdr>
              <w:spacing w:before="100"/>
              <w:ind w:left="100" w:right="100"/>
              <w:jc w:val="right"/>
              <w:rPr>
                <w:rFonts w:ascii="Times New Roman" w:hAnsi="Times New Roman" w:cs="Times New Roman"/>
              </w:rPr>
            </w:pPr>
            <w:r w:rsidRPr="007F00C7">
              <w:rPr>
                <w:rFonts w:ascii="Times New Roman" w:hAnsi="Times New Roman" w:cs="Times New Roman"/>
                <w:color w:val="000000"/>
                <w:sz w:val="20"/>
                <w:szCs w:val="20"/>
              </w:rPr>
              <w:t>13.13</w:t>
            </w:r>
          </w:p>
        </w:tc>
        <w:tc>
          <w:tcPr>
            <w:tcW w:w="915" w:type="dxa"/>
            <w:tcBorders>
              <w:top w:val="nil"/>
              <w:left w:val="nil"/>
              <w:bottom w:val="nil"/>
              <w:right w:val="nil"/>
            </w:tcBorders>
            <w:shd w:val="clear" w:color="auto" w:fill="FFFFFF"/>
            <w:tcMar>
              <w:top w:w="0" w:type="dxa"/>
              <w:left w:w="0" w:type="dxa"/>
              <w:bottom w:w="0" w:type="dxa"/>
              <w:right w:w="0" w:type="dxa"/>
            </w:tcMar>
          </w:tcPr>
          <w:p w14:paraId="0000014C" w14:textId="77777777" w:rsidR="001527B5" w:rsidRPr="007F00C7" w:rsidRDefault="00000000">
            <w:pPr>
              <w:pBdr>
                <w:top w:val="none" w:sz="0" w:space="0" w:color="000000"/>
                <w:left w:val="none" w:sz="0" w:space="0" w:color="000000"/>
                <w:bottom w:val="none" w:sz="0" w:space="0" w:color="000000"/>
                <w:right w:val="none" w:sz="0" w:space="0" w:color="000000"/>
              </w:pBdr>
              <w:spacing w:before="100"/>
              <w:ind w:left="100" w:right="100"/>
              <w:jc w:val="right"/>
              <w:rPr>
                <w:rFonts w:ascii="Times New Roman" w:hAnsi="Times New Roman" w:cs="Times New Roman"/>
              </w:rPr>
            </w:pPr>
            <w:r w:rsidRPr="007F00C7">
              <w:rPr>
                <w:rFonts w:ascii="Times New Roman" w:hAnsi="Times New Roman" w:cs="Times New Roman"/>
                <w:color w:val="000000"/>
                <w:sz w:val="20"/>
                <w:szCs w:val="20"/>
              </w:rPr>
              <w:t>22.2</w:t>
            </w:r>
          </w:p>
        </w:tc>
      </w:tr>
      <w:tr w:rsidR="001527B5" w:rsidRPr="007F00C7" w14:paraId="755E4FB1" w14:textId="77777777" w:rsidTr="00513AA2">
        <w:trPr>
          <w:cantSplit/>
          <w:jc w:val="center"/>
        </w:trPr>
        <w:tc>
          <w:tcPr>
            <w:tcW w:w="2655" w:type="dxa"/>
            <w:tcBorders>
              <w:top w:val="nil"/>
              <w:left w:val="nil"/>
              <w:bottom w:val="nil"/>
              <w:right w:val="nil"/>
            </w:tcBorders>
            <w:shd w:val="clear" w:color="auto" w:fill="FFFFFF"/>
            <w:tcMar>
              <w:top w:w="0" w:type="dxa"/>
              <w:left w:w="0" w:type="dxa"/>
              <w:bottom w:w="0" w:type="dxa"/>
              <w:right w:w="0" w:type="dxa"/>
            </w:tcMar>
          </w:tcPr>
          <w:p w14:paraId="0000014D" w14:textId="77777777" w:rsidR="001527B5" w:rsidRPr="007F00C7" w:rsidRDefault="00000000">
            <w:pPr>
              <w:pBdr>
                <w:top w:val="none" w:sz="0" w:space="0" w:color="000000"/>
                <w:left w:val="none" w:sz="0" w:space="0" w:color="000000"/>
                <w:bottom w:val="none" w:sz="0" w:space="0" w:color="000000"/>
                <w:right w:val="none" w:sz="0" w:space="0" w:color="000000"/>
              </w:pBdr>
              <w:spacing w:before="100"/>
              <w:ind w:left="100" w:right="100"/>
              <w:rPr>
                <w:rFonts w:ascii="Times New Roman" w:hAnsi="Times New Roman" w:cs="Times New Roman"/>
              </w:rPr>
            </w:pPr>
            <w:r w:rsidRPr="007F00C7">
              <w:rPr>
                <w:rFonts w:ascii="Times New Roman" w:hAnsi="Times New Roman" w:cs="Times New Roman"/>
                <w:color w:val="000000"/>
                <w:sz w:val="20"/>
                <w:szCs w:val="20"/>
              </w:rPr>
              <w:t xml:space="preserve">Spruce density (stems </w:t>
            </w:r>
            <w:proofErr w:type="gramStart"/>
            <w:r w:rsidRPr="007F00C7">
              <w:rPr>
                <w:rFonts w:ascii="Times New Roman" w:hAnsi="Times New Roman" w:cs="Times New Roman"/>
                <w:color w:val="000000"/>
                <w:sz w:val="20"/>
                <w:szCs w:val="20"/>
              </w:rPr>
              <w:t>ha</w:t>
            </w:r>
            <w:r w:rsidRPr="007F00C7">
              <w:rPr>
                <w:rFonts w:ascii="Times New Roman" w:hAnsi="Times New Roman" w:cs="Times New Roman"/>
                <w:color w:val="000000"/>
                <w:sz w:val="20"/>
                <w:szCs w:val="20"/>
                <w:vertAlign w:val="superscript"/>
              </w:rPr>
              <w:t>–1</w:t>
            </w:r>
            <w:proofErr w:type="gramEnd"/>
            <w:r w:rsidRPr="007F00C7">
              <w:rPr>
                <w:rFonts w:ascii="Times New Roman" w:hAnsi="Times New Roman" w:cs="Times New Roman"/>
                <w:color w:val="000000"/>
                <w:sz w:val="20"/>
                <w:szCs w:val="20"/>
              </w:rPr>
              <w:t>)</w:t>
            </w:r>
          </w:p>
        </w:tc>
        <w:tc>
          <w:tcPr>
            <w:tcW w:w="1335" w:type="dxa"/>
            <w:tcBorders>
              <w:top w:val="nil"/>
              <w:left w:val="nil"/>
              <w:bottom w:val="nil"/>
              <w:right w:val="nil"/>
            </w:tcBorders>
            <w:shd w:val="clear" w:color="auto" w:fill="FFFFFF"/>
            <w:tcMar>
              <w:top w:w="0" w:type="dxa"/>
              <w:left w:w="0" w:type="dxa"/>
              <w:bottom w:w="0" w:type="dxa"/>
              <w:right w:w="0" w:type="dxa"/>
            </w:tcMar>
          </w:tcPr>
          <w:p w14:paraId="0000014E" w14:textId="77777777" w:rsidR="001527B5" w:rsidRPr="007F00C7" w:rsidRDefault="00000000">
            <w:pPr>
              <w:pBdr>
                <w:top w:val="none" w:sz="0" w:space="0" w:color="000000"/>
                <w:left w:val="none" w:sz="0" w:space="0" w:color="000000"/>
                <w:bottom w:val="none" w:sz="0" w:space="0" w:color="000000"/>
                <w:right w:val="none" w:sz="0" w:space="0" w:color="000000"/>
              </w:pBdr>
              <w:spacing w:before="100"/>
              <w:ind w:left="100" w:right="100"/>
              <w:jc w:val="right"/>
              <w:rPr>
                <w:rFonts w:ascii="Times New Roman" w:hAnsi="Times New Roman" w:cs="Times New Roman"/>
              </w:rPr>
            </w:pPr>
            <w:r w:rsidRPr="007F00C7">
              <w:rPr>
                <w:rFonts w:ascii="Times New Roman" w:hAnsi="Times New Roman" w:cs="Times New Roman"/>
                <w:color w:val="000000"/>
                <w:sz w:val="20"/>
                <w:szCs w:val="20"/>
              </w:rPr>
              <w:t>30.56</w:t>
            </w:r>
          </w:p>
        </w:tc>
        <w:tc>
          <w:tcPr>
            <w:tcW w:w="960" w:type="dxa"/>
            <w:tcBorders>
              <w:top w:val="nil"/>
              <w:left w:val="nil"/>
              <w:bottom w:val="nil"/>
              <w:right w:val="nil"/>
            </w:tcBorders>
            <w:shd w:val="clear" w:color="auto" w:fill="FFFFFF"/>
            <w:tcMar>
              <w:top w:w="0" w:type="dxa"/>
              <w:left w:w="0" w:type="dxa"/>
              <w:bottom w:w="0" w:type="dxa"/>
              <w:right w:w="0" w:type="dxa"/>
            </w:tcMar>
          </w:tcPr>
          <w:p w14:paraId="0000014F" w14:textId="77777777" w:rsidR="001527B5" w:rsidRPr="007F00C7" w:rsidRDefault="00000000">
            <w:pPr>
              <w:pBdr>
                <w:top w:val="none" w:sz="0" w:space="0" w:color="000000"/>
                <w:left w:val="none" w:sz="0" w:space="0" w:color="000000"/>
                <w:bottom w:val="none" w:sz="0" w:space="0" w:color="000000"/>
                <w:right w:val="none" w:sz="0" w:space="0" w:color="000000"/>
              </w:pBdr>
              <w:spacing w:before="100"/>
              <w:ind w:left="100" w:right="100"/>
              <w:jc w:val="right"/>
              <w:rPr>
                <w:rFonts w:ascii="Times New Roman" w:hAnsi="Times New Roman" w:cs="Times New Roman"/>
              </w:rPr>
            </w:pPr>
            <w:r w:rsidRPr="007F00C7">
              <w:rPr>
                <w:rFonts w:ascii="Times New Roman" w:hAnsi="Times New Roman" w:cs="Times New Roman"/>
                <w:color w:val="000000"/>
                <w:sz w:val="20"/>
                <w:szCs w:val="20"/>
              </w:rPr>
              <w:t>41.45</w:t>
            </w:r>
          </w:p>
        </w:tc>
        <w:tc>
          <w:tcPr>
            <w:tcW w:w="915" w:type="dxa"/>
            <w:tcBorders>
              <w:top w:val="nil"/>
              <w:left w:val="nil"/>
              <w:bottom w:val="nil"/>
              <w:right w:val="nil"/>
            </w:tcBorders>
            <w:shd w:val="clear" w:color="auto" w:fill="FFFFFF"/>
            <w:tcMar>
              <w:top w:w="0" w:type="dxa"/>
              <w:left w:w="0" w:type="dxa"/>
              <w:bottom w:w="0" w:type="dxa"/>
              <w:right w:w="0" w:type="dxa"/>
            </w:tcMar>
          </w:tcPr>
          <w:p w14:paraId="00000150" w14:textId="77777777" w:rsidR="001527B5" w:rsidRPr="007F00C7" w:rsidRDefault="00000000">
            <w:pPr>
              <w:pBdr>
                <w:top w:val="none" w:sz="0" w:space="0" w:color="000000"/>
                <w:left w:val="none" w:sz="0" w:space="0" w:color="000000"/>
                <w:bottom w:val="none" w:sz="0" w:space="0" w:color="000000"/>
                <w:right w:val="none" w:sz="0" w:space="0" w:color="000000"/>
              </w:pBdr>
              <w:spacing w:before="100"/>
              <w:ind w:left="100" w:right="100"/>
              <w:jc w:val="right"/>
              <w:rPr>
                <w:rFonts w:ascii="Times New Roman" w:hAnsi="Times New Roman" w:cs="Times New Roman"/>
              </w:rPr>
            </w:pPr>
            <w:r w:rsidRPr="007F00C7">
              <w:rPr>
                <w:rFonts w:ascii="Times New Roman" w:hAnsi="Times New Roman" w:cs="Times New Roman"/>
                <w:color w:val="000000"/>
                <w:sz w:val="20"/>
                <w:szCs w:val="20"/>
              </w:rPr>
              <w:t>47.4</w:t>
            </w:r>
          </w:p>
        </w:tc>
      </w:tr>
      <w:tr w:rsidR="001527B5" w:rsidRPr="007F00C7" w14:paraId="3E242652" w14:textId="77777777" w:rsidTr="00513AA2">
        <w:trPr>
          <w:cantSplit/>
          <w:jc w:val="center"/>
        </w:trPr>
        <w:tc>
          <w:tcPr>
            <w:tcW w:w="2655" w:type="dxa"/>
            <w:tcBorders>
              <w:top w:val="nil"/>
              <w:left w:val="nil"/>
              <w:bottom w:val="single" w:sz="12" w:space="0" w:color="auto"/>
              <w:right w:val="nil"/>
            </w:tcBorders>
            <w:shd w:val="clear" w:color="auto" w:fill="FFFFFF"/>
            <w:tcMar>
              <w:top w:w="0" w:type="dxa"/>
              <w:left w:w="0" w:type="dxa"/>
              <w:bottom w:w="0" w:type="dxa"/>
              <w:right w:w="0" w:type="dxa"/>
            </w:tcMar>
          </w:tcPr>
          <w:p w14:paraId="00000151" w14:textId="77777777" w:rsidR="001527B5" w:rsidRPr="007F00C7" w:rsidRDefault="00000000">
            <w:pPr>
              <w:pBdr>
                <w:top w:val="none" w:sz="0" w:space="0" w:color="000000"/>
                <w:left w:val="none" w:sz="0" w:space="0" w:color="000000"/>
                <w:bottom w:val="none" w:sz="0" w:space="0" w:color="000000"/>
                <w:right w:val="none" w:sz="0" w:space="0" w:color="000000"/>
              </w:pBdr>
              <w:spacing w:before="100"/>
              <w:ind w:left="100" w:right="100"/>
              <w:rPr>
                <w:rFonts w:ascii="Times New Roman" w:hAnsi="Times New Roman" w:cs="Times New Roman"/>
              </w:rPr>
            </w:pPr>
            <w:r w:rsidRPr="007F00C7">
              <w:rPr>
                <w:rFonts w:ascii="Times New Roman" w:hAnsi="Times New Roman" w:cs="Times New Roman"/>
                <w:color w:val="000000"/>
                <w:sz w:val="20"/>
                <w:szCs w:val="20"/>
              </w:rPr>
              <w:t xml:space="preserve">Pine density (stems </w:t>
            </w:r>
            <w:proofErr w:type="gramStart"/>
            <w:r w:rsidRPr="007F00C7">
              <w:rPr>
                <w:rFonts w:ascii="Times New Roman" w:hAnsi="Times New Roman" w:cs="Times New Roman"/>
                <w:color w:val="000000"/>
                <w:sz w:val="20"/>
                <w:szCs w:val="20"/>
              </w:rPr>
              <w:t>ha</w:t>
            </w:r>
            <w:r w:rsidRPr="007F00C7">
              <w:rPr>
                <w:rFonts w:ascii="Times New Roman" w:hAnsi="Times New Roman" w:cs="Times New Roman"/>
                <w:color w:val="000000"/>
                <w:sz w:val="20"/>
                <w:szCs w:val="20"/>
                <w:vertAlign w:val="superscript"/>
              </w:rPr>
              <w:t>–1</w:t>
            </w:r>
            <w:proofErr w:type="gramEnd"/>
            <w:r w:rsidRPr="007F00C7">
              <w:rPr>
                <w:rFonts w:ascii="Times New Roman" w:hAnsi="Times New Roman" w:cs="Times New Roman"/>
                <w:color w:val="000000"/>
                <w:sz w:val="20"/>
                <w:szCs w:val="20"/>
              </w:rPr>
              <w:t>)</w:t>
            </w:r>
          </w:p>
        </w:tc>
        <w:tc>
          <w:tcPr>
            <w:tcW w:w="1335" w:type="dxa"/>
            <w:tcBorders>
              <w:top w:val="nil"/>
              <w:left w:val="nil"/>
              <w:bottom w:val="single" w:sz="12" w:space="0" w:color="auto"/>
              <w:right w:val="nil"/>
            </w:tcBorders>
            <w:shd w:val="clear" w:color="auto" w:fill="FFFFFF"/>
            <w:tcMar>
              <w:top w:w="0" w:type="dxa"/>
              <w:left w:w="0" w:type="dxa"/>
              <w:bottom w:w="0" w:type="dxa"/>
              <w:right w:w="0" w:type="dxa"/>
            </w:tcMar>
          </w:tcPr>
          <w:p w14:paraId="00000152" w14:textId="77777777" w:rsidR="001527B5" w:rsidRPr="007F00C7" w:rsidRDefault="00000000">
            <w:pPr>
              <w:pBdr>
                <w:top w:val="none" w:sz="0" w:space="0" w:color="000000"/>
                <w:left w:val="none" w:sz="0" w:space="0" w:color="000000"/>
                <w:bottom w:val="none" w:sz="0" w:space="0" w:color="000000"/>
                <w:right w:val="none" w:sz="0" w:space="0" w:color="000000"/>
              </w:pBdr>
              <w:spacing w:before="100"/>
              <w:ind w:left="100" w:right="100"/>
              <w:jc w:val="right"/>
              <w:rPr>
                <w:rFonts w:ascii="Times New Roman" w:hAnsi="Times New Roman" w:cs="Times New Roman"/>
              </w:rPr>
            </w:pPr>
            <w:r w:rsidRPr="007F00C7">
              <w:rPr>
                <w:rFonts w:ascii="Times New Roman" w:hAnsi="Times New Roman" w:cs="Times New Roman"/>
                <w:color w:val="000000"/>
                <w:sz w:val="20"/>
                <w:szCs w:val="20"/>
              </w:rPr>
              <w:t>13.78</w:t>
            </w:r>
          </w:p>
        </w:tc>
        <w:tc>
          <w:tcPr>
            <w:tcW w:w="960" w:type="dxa"/>
            <w:tcBorders>
              <w:top w:val="nil"/>
              <w:left w:val="nil"/>
              <w:bottom w:val="single" w:sz="12" w:space="0" w:color="auto"/>
              <w:right w:val="nil"/>
            </w:tcBorders>
            <w:shd w:val="clear" w:color="auto" w:fill="FFFFFF"/>
            <w:tcMar>
              <w:top w:w="0" w:type="dxa"/>
              <w:left w:w="0" w:type="dxa"/>
              <w:bottom w:w="0" w:type="dxa"/>
              <w:right w:w="0" w:type="dxa"/>
            </w:tcMar>
          </w:tcPr>
          <w:p w14:paraId="00000153" w14:textId="77777777" w:rsidR="001527B5" w:rsidRPr="007F00C7" w:rsidRDefault="00000000">
            <w:pPr>
              <w:pBdr>
                <w:top w:val="none" w:sz="0" w:space="0" w:color="000000"/>
                <w:left w:val="none" w:sz="0" w:space="0" w:color="000000"/>
                <w:bottom w:val="none" w:sz="0" w:space="0" w:color="000000"/>
                <w:right w:val="none" w:sz="0" w:space="0" w:color="000000"/>
              </w:pBdr>
              <w:spacing w:before="100"/>
              <w:ind w:left="100" w:right="100"/>
              <w:jc w:val="right"/>
              <w:rPr>
                <w:rFonts w:ascii="Times New Roman" w:hAnsi="Times New Roman" w:cs="Times New Roman"/>
              </w:rPr>
            </w:pPr>
            <w:r w:rsidRPr="007F00C7">
              <w:rPr>
                <w:rFonts w:ascii="Times New Roman" w:hAnsi="Times New Roman" w:cs="Times New Roman"/>
                <w:color w:val="000000"/>
                <w:sz w:val="20"/>
                <w:szCs w:val="20"/>
              </w:rPr>
              <w:t>30.14</w:t>
            </w:r>
          </w:p>
        </w:tc>
        <w:tc>
          <w:tcPr>
            <w:tcW w:w="915" w:type="dxa"/>
            <w:tcBorders>
              <w:top w:val="nil"/>
              <w:left w:val="nil"/>
              <w:bottom w:val="single" w:sz="12" w:space="0" w:color="auto"/>
              <w:right w:val="nil"/>
            </w:tcBorders>
            <w:shd w:val="clear" w:color="auto" w:fill="FFFFFF"/>
            <w:tcMar>
              <w:top w:w="0" w:type="dxa"/>
              <w:left w:w="0" w:type="dxa"/>
              <w:bottom w:w="0" w:type="dxa"/>
              <w:right w:w="0" w:type="dxa"/>
            </w:tcMar>
          </w:tcPr>
          <w:p w14:paraId="00000154" w14:textId="77777777" w:rsidR="001527B5" w:rsidRPr="007F00C7" w:rsidRDefault="00000000">
            <w:pPr>
              <w:pBdr>
                <w:top w:val="none" w:sz="0" w:space="0" w:color="000000"/>
                <w:left w:val="none" w:sz="0" w:space="0" w:color="000000"/>
                <w:bottom w:val="none" w:sz="0" w:space="0" w:color="000000"/>
                <w:right w:val="none" w:sz="0" w:space="0" w:color="000000"/>
              </w:pBdr>
              <w:spacing w:before="100"/>
              <w:ind w:left="100" w:right="100"/>
              <w:jc w:val="right"/>
              <w:rPr>
                <w:rFonts w:ascii="Times New Roman" w:hAnsi="Times New Roman" w:cs="Times New Roman"/>
              </w:rPr>
            </w:pPr>
            <w:r w:rsidRPr="007F00C7">
              <w:rPr>
                <w:rFonts w:ascii="Times New Roman" w:hAnsi="Times New Roman" w:cs="Times New Roman"/>
                <w:color w:val="000000"/>
                <w:sz w:val="20"/>
                <w:szCs w:val="20"/>
              </w:rPr>
              <w:t>49.4</w:t>
            </w:r>
          </w:p>
        </w:tc>
      </w:tr>
    </w:tbl>
    <w:p w14:paraId="0000016B" w14:textId="3749D5DA" w:rsidR="001527B5" w:rsidRPr="0089706A" w:rsidRDefault="00885142" w:rsidP="0089706A">
      <w:pPr>
        <w:tabs>
          <w:tab w:val="left" w:pos="1710"/>
        </w:tabs>
        <w:spacing w:after="0"/>
        <w:rPr>
          <w:sz w:val="20"/>
          <w:szCs w:val="20"/>
        </w:rPr>
      </w:pPr>
      <w:r w:rsidRPr="007F00C7">
        <w:tab/>
      </w:r>
      <w:r w:rsidRPr="007F00C7">
        <w:rPr>
          <w:sz w:val="20"/>
          <w:szCs w:val="20"/>
        </w:rPr>
        <w:t>QMD = quadratic mean diameter; 95P = 95</w:t>
      </w:r>
      <w:r w:rsidRPr="007F00C7">
        <w:rPr>
          <w:sz w:val="20"/>
          <w:szCs w:val="20"/>
          <w:vertAlign w:val="superscript"/>
        </w:rPr>
        <w:t>th</w:t>
      </w:r>
      <w:r w:rsidRPr="007F00C7">
        <w:rPr>
          <w:sz w:val="20"/>
          <w:szCs w:val="20"/>
        </w:rPr>
        <w:t xml:space="preserve"> percentile</w:t>
      </w:r>
      <w:r w:rsidRPr="007F00C7">
        <w:br w:type="page"/>
      </w:r>
    </w:p>
    <w:p w14:paraId="0000016C" w14:textId="77777777" w:rsidR="001527B5" w:rsidRPr="007F00C7" w:rsidRDefault="00000000">
      <w:pPr>
        <w:pStyle w:val="Heading1"/>
        <w:rPr>
          <w:rFonts w:ascii="Times New Roman" w:hAnsi="Times New Roman" w:cs="Times New Roman"/>
        </w:rPr>
      </w:pPr>
      <w:r w:rsidRPr="007F00C7">
        <w:rPr>
          <w:rFonts w:ascii="Times New Roman" w:hAnsi="Times New Roman" w:cs="Times New Roman"/>
        </w:rPr>
        <w:lastRenderedPageBreak/>
        <w:t>References</w:t>
      </w:r>
    </w:p>
    <w:p w14:paraId="0000016D" w14:textId="77777777" w:rsidR="001527B5" w:rsidRPr="007F00C7" w:rsidRDefault="00000000">
      <w:pPr>
        <w:pBdr>
          <w:top w:val="nil"/>
          <w:left w:val="nil"/>
          <w:bottom w:val="nil"/>
          <w:right w:val="nil"/>
          <w:between w:val="nil"/>
        </w:pBdr>
        <w:spacing w:before="180" w:after="0"/>
        <w:ind w:left="720" w:hanging="720"/>
        <w:rPr>
          <w:color w:val="000000"/>
        </w:rPr>
      </w:pPr>
      <w:bookmarkStart w:id="39" w:name="bookmark=id.19c6y18" w:colFirst="0" w:colLast="0"/>
      <w:bookmarkStart w:id="40" w:name="bookmark=id.2u6wntf" w:colFirst="0" w:colLast="0"/>
      <w:bookmarkEnd w:id="39"/>
      <w:bookmarkEnd w:id="40"/>
      <w:r w:rsidRPr="007F00C7">
        <w:rPr>
          <w:color w:val="000000"/>
        </w:rPr>
        <w:t xml:space="preserve">Adams, H.R., </w:t>
      </w:r>
      <w:r w:rsidRPr="007F00C7">
        <w:t>Barnard</w:t>
      </w:r>
      <w:r w:rsidRPr="007F00C7">
        <w:rPr>
          <w:color w:val="000000"/>
        </w:rPr>
        <w:t xml:space="preserve">, H.R., Loomis, A.K., 2014. Topography alters tree growth-climate relationships in a semi-arid forested catchment. Ecosphere 5, 1–16. </w:t>
      </w:r>
      <w:hyperlink r:id="rId16">
        <w:r w:rsidRPr="007F00C7">
          <w:rPr>
            <w:color w:val="4F81BD"/>
          </w:rPr>
          <w:t>https://doi.org/10.1890/ES14-00296.1</w:t>
        </w:r>
      </w:hyperlink>
    </w:p>
    <w:p w14:paraId="0000016E" w14:textId="77777777" w:rsidR="001527B5" w:rsidRPr="007F00C7" w:rsidRDefault="00000000">
      <w:pPr>
        <w:pBdr>
          <w:top w:val="nil"/>
          <w:left w:val="nil"/>
          <w:bottom w:val="nil"/>
          <w:right w:val="nil"/>
          <w:between w:val="nil"/>
        </w:pBdr>
        <w:spacing w:before="180" w:after="0"/>
        <w:ind w:left="720" w:hanging="720"/>
        <w:rPr>
          <w:color w:val="000000"/>
        </w:rPr>
      </w:pPr>
      <w:bookmarkStart w:id="41" w:name="bookmark=id.3tbugp1" w:colFirst="0" w:colLast="0"/>
      <w:bookmarkEnd w:id="41"/>
      <w:r w:rsidRPr="007F00C7">
        <w:rPr>
          <w:color w:val="000000"/>
        </w:rPr>
        <w:t xml:space="preserve">Adams, T., Beets, P., Parrish, C., 2011. </w:t>
      </w:r>
      <w:r w:rsidRPr="007F00C7">
        <w:t>Another dimension from LiDAR–Obtaining foliage density from full waveform data</w:t>
      </w:r>
      <w:r w:rsidRPr="007F00C7">
        <w:rPr>
          <w:color w:val="000000"/>
        </w:rPr>
        <w:t xml:space="preserve">, in: Int. Conf. LiDAR Appl. Assess. For. </w:t>
      </w:r>
      <w:proofErr w:type="spellStart"/>
      <w:r w:rsidRPr="007F00C7">
        <w:rPr>
          <w:color w:val="000000"/>
        </w:rPr>
        <w:t>Ecosyst</w:t>
      </w:r>
      <w:proofErr w:type="spellEnd"/>
      <w:r w:rsidRPr="007F00C7">
        <w:rPr>
          <w:color w:val="000000"/>
        </w:rPr>
        <w:t>., 603–614. https://scholars.unh.edu/ccom/798</w:t>
      </w:r>
    </w:p>
    <w:p w14:paraId="0000016F" w14:textId="77777777" w:rsidR="001527B5" w:rsidRPr="007F00C7" w:rsidRDefault="00000000">
      <w:pPr>
        <w:pBdr>
          <w:top w:val="nil"/>
          <w:left w:val="nil"/>
          <w:bottom w:val="nil"/>
          <w:right w:val="nil"/>
          <w:between w:val="nil"/>
        </w:pBdr>
        <w:spacing w:before="180" w:after="0"/>
        <w:ind w:left="720" w:hanging="720"/>
        <w:rPr>
          <w:color w:val="000000"/>
        </w:rPr>
      </w:pPr>
      <w:bookmarkStart w:id="42" w:name="bookmark=id.28h4qwu" w:colFirst="0" w:colLast="0"/>
      <w:bookmarkEnd w:id="42"/>
      <w:r w:rsidRPr="007F00C7">
        <w:rPr>
          <w:color w:val="000000"/>
        </w:rPr>
        <w:t>Alexander, R.R., 1987. Ecology, silviculture, and management of the Engelmann spruce–subalpine fir type in the central and southern Rocky Mountains (</w:t>
      </w:r>
      <w:r w:rsidRPr="007F00C7">
        <w:t>Agriculture Handbook No. 659</w:t>
      </w:r>
      <w:r w:rsidRPr="007F00C7">
        <w:rPr>
          <w:color w:val="000000"/>
        </w:rPr>
        <w:t>). U.S. Department of Agriculture Forest Service, Fort Collins, Colorado, USA.</w:t>
      </w:r>
    </w:p>
    <w:p w14:paraId="00000170" w14:textId="77777777" w:rsidR="001527B5" w:rsidRPr="007F00C7" w:rsidRDefault="00000000">
      <w:pPr>
        <w:pBdr>
          <w:top w:val="nil"/>
          <w:left w:val="nil"/>
          <w:bottom w:val="nil"/>
          <w:right w:val="nil"/>
          <w:between w:val="nil"/>
        </w:pBdr>
        <w:spacing w:before="180" w:after="0"/>
        <w:ind w:left="720" w:hanging="720"/>
        <w:rPr>
          <w:color w:val="000000"/>
        </w:rPr>
      </w:pPr>
      <w:bookmarkStart w:id="43" w:name="bookmark=id.nmf14n" w:colFirst="0" w:colLast="0"/>
      <w:bookmarkEnd w:id="43"/>
      <w:r w:rsidRPr="007F00C7">
        <w:rPr>
          <w:color w:val="000000"/>
        </w:rPr>
        <w:t xml:space="preserve">Anderson, J.E., Plourde, L.C., Martin, M.E., Braswell, B.H., Smith, M.L., </w:t>
      </w:r>
      <w:proofErr w:type="spellStart"/>
      <w:r w:rsidRPr="007F00C7">
        <w:rPr>
          <w:color w:val="000000"/>
        </w:rPr>
        <w:t>Dubayah</w:t>
      </w:r>
      <w:proofErr w:type="spellEnd"/>
      <w:r w:rsidRPr="007F00C7">
        <w:rPr>
          <w:color w:val="000000"/>
        </w:rPr>
        <w:t xml:space="preserve">, R.O., </w:t>
      </w:r>
      <w:proofErr w:type="spellStart"/>
      <w:r w:rsidRPr="007F00C7">
        <w:rPr>
          <w:color w:val="000000"/>
        </w:rPr>
        <w:t>Hofton</w:t>
      </w:r>
      <w:proofErr w:type="spellEnd"/>
      <w:r w:rsidRPr="007F00C7">
        <w:rPr>
          <w:color w:val="000000"/>
        </w:rPr>
        <w:t xml:space="preserve">, M.A., Blair, J.B., 2008. Integrating waveform lidar with hyperspectral imagery for inventory of a northern temperate forest. Remote Sens. Environ. 112, 1856–1870. </w:t>
      </w:r>
      <w:hyperlink r:id="rId17">
        <w:r w:rsidRPr="007F00C7">
          <w:rPr>
            <w:color w:val="4F81BD"/>
          </w:rPr>
          <w:t>https://doi.org/10.1016/j.rse.2007.09.009</w:t>
        </w:r>
      </w:hyperlink>
    </w:p>
    <w:p w14:paraId="00000171" w14:textId="77777777" w:rsidR="001527B5" w:rsidRPr="007F00C7" w:rsidRDefault="00000000">
      <w:pPr>
        <w:pBdr>
          <w:top w:val="nil"/>
          <w:left w:val="nil"/>
          <w:bottom w:val="nil"/>
          <w:right w:val="nil"/>
          <w:between w:val="nil"/>
        </w:pBdr>
        <w:spacing w:before="180" w:after="0"/>
        <w:ind w:left="720" w:hanging="720"/>
        <w:rPr>
          <w:color w:val="000000"/>
        </w:rPr>
      </w:pPr>
      <w:bookmarkStart w:id="44" w:name="bookmark=id.37m2jsg" w:colFirst="0" w:colLast="0"/>
      <w:bookmarkEnd w:id="44"/>
      <w:r w:rsidRPr="007F00C7">
        <w:rPr>
          <w:color w:val="000000"/>
        </w:rPr>
        <w:t xml:space="preserve">Anderson, K., Hancock, S., Disney, M., Gaston, K.J., 2016. Is waveform worth it? A comparison of LiDAR approaches for vegetation and landscape characterization. Remote Sens. Ecol. </w:t>
      </w:r>
      <w:proofErr w:type="spellStart"/>
      <w:r w:rsidRPr="007F00C7">
        <w:rPr>
          <w:color w:val="000000"/>
        </w:rPr>
        <w:t>Conserv</w:t>
      </w:r>
      <w:proofErr w:type="spellEnd"/>
      <w:r w:rsidRPr="007F00C7">
        <w:rPr>
          <w:color w:val="000000"/>
        </w:rPr>
        <w:t xml:space="preserve">. 2, 5–15. </w:t>
      </w:r>
      <w:hyperlink r:id="rId18">
        <w:r w:rsidRPr="007F00C7">
          <w:rPr>
            <w:color w:val="4F81BD"/>
          </w:rPr>
          <w:t>https://doi.org/10.1002/rse2.8</w:t>
        </w:r>
      </w:hyperlink>
    </w:p>
    <w:p w14:paraId="00000172" w14:textId="77777777" w:rsidR="001527B5" w:rsidRPr="007F00C7" w:rsidRDefault="00000000">
      <w:pPr>
        <w:pBdr>
          <w:top w:val="nil"/>
          <w:left w:val="nil"/>
          <w:bottom w:val="nil"/>
          <w:right w:val="nil"/>
          <w:between w:val="nil"/>
        </w:pBdr>
        <w:spacing w:before="180" w:after="0"/>
        <w:ind w:left="720" w:hanging="720"/>
        <w:rPr>
          <w:color w:val="000000"/>
        </w:rPr>
      </w:pPr>
      <w:bookmarkStart w:id="45" w:name="bookmark=id.1mrcu09" w:colFirst="0" w:colLast="0"/>
      <w:bookmarkEnd w:id="45"/>
      <w:proofErr w:type="spellStart"/>
      <w:r w:rsidRPr="007F00C7">
        <w:rPr>
          <w:color w:val="000000"/>
        </w:rPr>
        <w:t>Antonarakis</w:t>
      </w:r>
      <w:proofErr w:type="spellEnd"/>
      <w:r w:rsidRPr="007F00C7">
        <w:rPr>
          <w:color w:val="000000"/>
        </w:rPr>
        <w:t xml:space="preserve">, A.S., Munger, J.W., Moorcroft, P.R., 2014. Imaging spectroscopy- and lidar-derived estimates of canopy composition and structure to improve predictions of forest carbon fluxes and ecosystem dynamics. </w:t>
      </w:r>
      <w:proofErr w:type="spellStart"/>
      <w:r w:rsidRPr="007F00C7">
        <w:rPr>
          <w:color w:val="000000"/>
        </w:rPr>
        <w:t>Geophys</w:t>
      </w:r>
      <w:proofErr w:type="spellEnd"/>
      <w:r w:rsidRPr="007F00C7">
        <w:rPr>
          <w:color w:val="000000"/>
        </w:rPr>
        <w:t xml:space="preserve">. Res. Lett. 41, 2535–2542. </w:t>
      </w:r>
      <w:hyperlink r:id="rId19">
        <w:r w:rsidRPr="007F00C7">
          <w:rPr>
            <w:color w:val="4F81BD"/>
          </w:rPr>
          <w:t>https://doi.org/10.1002/2013GL058373.</w:t>
        </w:r>
      </w:hyperlink>
    </w:p>
    <w:p w14:paraId="00000173" w14:textId="77777777" w:rsidR="001527B5" w:rsidRPr="007F00C7" w:rsidRDefault="00000000">
      <w:pPr>
        <w:pBdr>
          <w:top w:val="nil"/>
          <w:left w:val="nil"/>
          <w:bottom w:val="nil"/>
          <w:right w:val="nil"/>
          <w:between w:val="nil"/>
        </w:pBdr>
        <w:spacing w:before="180" w:after="0"/>
        <w:ind w:left="720" w:hanging="720"/>
        <w:rPr>
          <w:color w:val="000000"/>
        </w:rPr>
      </w:pPr>
      <w:bookmarkStart w:id="46" w:name="bookmark=id.46r0co2" w:colFirst="0" w:colLast="0"/>
      <w:bookmarkEnd w:id="46"/>
      <w:proofErr w:type="spellStart"/>
      <w:r w:rsidRPr="007F00C7">
        <w:rPr>
          <w:color w:val="000000"/>
        </w:rPr>
        <w:t>Antonarakis</w:t>
      </w:r>
      <w:proofErr w:type="spellEnd"/>
      <w:r w:rsidRPr="007F00C7">
        <w:rPr>
          <w:color w:val="000000"/>
        </w:rPr>
        <w:t xml:space="preserve">, A.S., Saatchi, S.S., </w:t>
      </w:r>
      <w:proofErr w:type="spellStart"/>
      <w:r w:rsidRPr="007F00C7">
        <w:rPr>
          <w:color w:val="000000"/>
        </w:rPr>
        <w:t>Chazdon</w:t>
      </w:r>
      <w:proofErr w:type="spellEnd"/>
      <w:r w:rsidRPr="007F00C7">
        <w:rPr>
          <w:color w:val="000000"/>
        </w:rPr>
        <w:t>, R.L., Moorcroft, P.R., 2011. Using Li</w:t>
      </w:r>
      <w:r w:rsidRPr="007F00C7">
        <w:t>dar</w:t>
      </w:r>
      <w:r w:rsidRPr="007F00C7">
        <w:rPr>
          <w:color w:val="000000"/>
        </w:rPr>
        <w:t xml:space="preserve"> and Radar measurements to constrain predictions of forest ecosystem structure and function. Ecol. Appl. 21, 1120–1137. </w:t>
      </w:r>
      <w:hyperlink r:id="rId20">
        <w:r w:rsidRPr="007F00C7">
          <w:rPr>
            <w:color w:val="4F81BD"/>
          </w:rPr>
          <w:t>https://doi.org/10.1890/10-0274.1</w:t>
        </w:r>
      </w:hyperlink>
    </w:p>
    <w:p w14:paraId="00000174" w14:textId="77777777" w:rsidR="001527B5" w:rsidRPr="007F00C7" w:rsidRDefault="00000000">
      <w:pPr>
        <w:pBdr>
          <w:top w:val="nil"/>
          <w:left w:val="nil"/>
          <w:bottom w:val="nil"/>
          <w:right w:val="nil"/>
          <w:between w:val="nil"/>
        </w:pBdr>
        <w:spacing w:before="180" w:after="0"/>
        <w:ind w:left="720" w:hanging="720"/>
        <w:rPr>
          <w:color w:val="000000"/>
        </w:rPr>
      </w:pPr>
      <w:bookmarkStart w:id="47" w:name="bookmark=id.2lwamvv" w:colFirst="0" w:colLast="0"/>
      <w:bookmarkEnd w:id="47"/>
      <w:proofErr w:type="spellStart"/>
      <w:r w:rsidRPr="007F00C7">
        <w:rPr>
          <w:color w:val="000000"/>
        </w:rPr>
        <w:t>Ayrey</w:t>
      </w:r>
      <w:proofErr w:type="spellEnd"/>
      <w:r w:rsidRPr="007F00C7">
        <w:rPr>
          <w:color w:val="000000"/>
        </w:rPr>
        <w:t xml:space="preserve">, E., </w:t>
      </w:r>
      <w:proofErr w:type="spellStart"/>
      <w:r w:rsidRPr="007F00C7">
        <w:rPr>
          <w:color w:val="000000"/>
        </w:rPr>
        <w:t>Fraver</w:t>
      </w:r>
      <w:proofErr w:type="spellEnd"/>
      <w:r w:rsidRPr="007F00C7">
        <w:rPr>
          <w:color w:val="000000"/>
        </w:rPr>
        <w:t xml:space="preserve">, S., Kershaw, J.A., </w:t>
      </w:r>
      <w:proofErr w:type="spellStart"/>
      <w:r w:rsidRPr="007F00C7">
        <w:rPr>
          <w:color w:val="000000"/>
        </w:rPr>
        <w:t>Kenefic</w:t>
      </w:r>
      <w:proofErr w:type="spellEnd"/>
      <w:r w:rsidRPr="007F00C7">
        <w:rPr>
          <w:color w:val="000000"/>
        </w:rPr>
        <w:t xml:space="preserve">, L.S., Hayes, D., </w:t>
      </w:r>
      <w:proofErr w:type="spellStart"/>
      <w:r w:rsidRPr="007F00C7">
        <w:rPr>
          <w:color w:val="000000"/>
        </w:rPr>
        <w:t>Weiskittel</w:t>
      </w:r>
      <w:proofErr w:type="spellEnd"/>
      <w:r w:rsidRPr="007F00C7">
        <w:rPr>
          <w:color w:val="000000"/>
        </w:rPr>
        <w:t xml:space="preserve">, A.R., Roth, B.E., 2017. Layer Stacking: A novel algorithm for individual forest tree segmentation from </w:t>
      </w:r>
      <w:r w:rsidRPr="007F00C7">
        <w:t>LiDAR</w:t>
      </w:r>
      <w:r w:rsidRPr="007F00C7">
        <w:rPr>
          <w:color w:val="000000"/>
        </w:rPr>
        <w:t xml:space="preserve"> point clouds. Can. J. Remote Sens. 43, 16–27. </w:t>
      </w:r>
      <w:hyperlink r:id="rId21">
        <w:r w:rsidRPr="007F00C7">
          <w:rPr>
            <w:color w:val="4F81BD"/>
          </w:rPr>
          <w:t>https://doi.org/10.1080/07038992.2017.1252907</w:t>
        </w:r>
      </w:hyperlink>
    </w:p>
    <w:p w14:paraId="00000175" w14:textId="77777777" w:rsidR="001527B5" w:rsidRPr="007F00C7" w:rsidRDefault="00000000">
      <w:pPr>
        <w:pBdr>
          <w:top w:val="nil"/>
          <w:left w:val="nil"/>
          <w:bottom w:val="nil"/>
          <w:right w:val="nil"/>
          <w:between w:val="nil"/>
        </w:pBdr>
        <w:spacing w:before="180" w:after="0"/>
        <w:ind w:left="720" w:hanging="720"/>
        <w:rPr>
          <w:color w:val="000000"/>
        </w:rPr>
      </w:pPr>
      <w:bookmarkStart w:id="48" w:name="bookmark=id.111kx3o" w:colFirst="0" w:colLast="0"/>
      <w:bookmarkEnd w:id="48"/>
      <w:r w:rsidRPr="007F00C7">
        <w:rPr>
          <w:color w:val="000000"/>
        </w:rPr>
        <w:t xml:space="preserve">Barnard, D.M., Barnard, H.R., </w:t>
      </w:r>
      <w:proofErr w:type="spellStart"/>
      <w:r w:rsidRPr="007F00C7">
        <w:rPr>
          <w:color w:val="000000"/>
        </w:rPr>
        <w:t>Molotch</w:t>
      </w:r>
      <w:proofErr w:type="spellEnd"/>
      <w:r w:rsidRPr="007F00C7">
        <w:rPr>
          <w:color w:val="000000"/>
        </w:rPr>
        <w:t xml:space="preserve">, N.P., 2017. </w:t>
      </w:r>
      <w:proofErr w:type="spellStart"/>
      <w:r w:rsidRPr="007F00C7">
        <w:rPr>
          <w:color w:val="000000"/>
        </w:rPr>
        <w:t>Topoclimate</w:t>
      </w:r>
      <w:proofErr w:type="spellEnd"/>
      <w:r w:rsidRPr="007F00C7">
        <w:rPr>
          <w:color w:val="000000"/>
        </w:rPr>
        <w:t xml:space="preserve"> effects on growing season length and montane conifer growth in complex terrain. Environ. Res. Lett. 12. </w:t>
      </w:r>
      <w:hyperlink r:id="rId22">
        <w:r w:rsidRPr="007F00C7">
          <w:rPr>
            <w:color w:val="4F81BD"/>
          </w:rPr>
          <w:t>https://doi.org/10.1088/1748-9326/aa6da8</w:t>
        </w:r>
      </w:hyperlink>
    </w:p>
    <w:p w14:paraId="00000176" w14:textId="6B958552" w:rsidR="001527B5" w:rsidRPr="007F00C7" w:rsidRDefault="00000000">
      <w:pPr>
        <w:pBdr>
          <w:top w:val="nil"/>
          <w:left w:val="nil"/>
          <w:bottom w:val="nil"/>
          <w:right w:val="nil"/>
          <w:between w:val="nil"/>
        </w:pBdr>
        <w:spacing w:before="180" w:after="0"/>
        <w:ind w:left="720" w:hanging="720"/>
        <w:rPr>
          <w:color w:val="000000"/>
        </w:rPr>
      </w:pPr>
      <w:bookmarkStart w:id="49" w:name="bookmark=id.3l18frh" w:colFirst="0" w:colLast="0"/>
      <w:bookmarkEnd w:id="49"/>
      <w:r w:rsidRPr="007F00C7">
        <w:rPr>
          <w:color w:val="000000"/>
        </w:rPr>
        <w:t xml:space="preserve">Berkeley Earth, 2022. </w:t>
      </w:r>
      <w:r w:rsidRPr="007F00C7">
        <w:t xml:space="preserve">Breakpoint </w:t>
      </w:r>
      <w:r w:rsidR="00221F94" w:rsidRPr="007F00C7">
        <w:t>a</w:t>
      </w:r>
      <w:r w:rsidRPr="007F00C7">
        <w:t xml:space="preserve">djusted </w:t>
      </w:r>
      <w:r w:rsidR="00221F94" w:rsidRPr="007F00C7">
        <w:t>m</w:t>
      </w:r>
      <w:r w:rsidRPr="007F00C7">
        <w:t xml:space="preserve">onthly </w:t>
      </w:r>
      <w:r w:rsidR="00221F94" w:rsidRPr="007F00C7">
        <w:t>s</w:t>
      </w:r>
      <w:r w:rsidRPr="007F00C7">
        <w:t xml:space="preserve">tation </w:t>
      </w:r>
      <w:r w:rsidR="00221F94" w:rsidRPr="007F00C7">
        <w:t>d</w:t>
      </w:r>
      <w:r w:rsidRPr="007F00C7">
        <w:t>ata for Crested Butte CO, USA (USC00051959) [dataset]</w:t>
      </w:r>
      <w:r w:rsidRPr="007F00C7">
        <w:rPr>
          <w:color w:val="000000"/>
        </w:rPr>
        <w:t>. Berkeley Earth Merged Dataset, v</w:t>
      </w:r>
      <w:r w:rsidRPr="007F00C7">
        <w:t>2.</w:t>
      </w:r>
      <w:r w:rsidRPr="007F00C7">
        <w:rPr>
          <w:color w:val="000000"/>
        </w:rPr>
        <w:t xml:space="preserve"> https://data.berkeleyearth.org/stations/33709</w:t>
      </w:r>
    </w:p>
    <w:p w14:paraId="00000177" w14:textId="77777777" w:rsidR="001527B5" w:rsidRPr="007F00C7" w:rsidRDefault="00000000">
      <w:pPr>
        <w:pBdr>
          <w:top w:val="nil"/>
          <w:left w:val="nil"/>
          <w:bottom w:val="nil"/>
          <w:right w:val="nil"/>
          <w:between w:val="nil"/>
        </w:pBdr>
        <w:spacing w:before="180" w:after="0"/>
        <w:ind w:left="720" w:hanging="720"/>
        <w:rPr>
          <w:color w:val="000000"/>
        </w:rPr>
      </w:pPr>
      <w:bookmarkStart w:id="50" w:name="bookmark=id.206ipza" w:colFirst="0" w:colLast="0"/>
      <w:bookmarkEnd w:id="50"/>
      <w:proofErr w:type="spellStart"/>
      <w:r w:rsidRPr="007F00C7">
        <w:rPr>
          <w:color w:val="000000"/>
        </w:rPr>
        <w:t>Berkelhammer</w:t>
      </w:r>
      <w:proofErr w:type="spellEnd"/>
      <w:r w:rsidRPr="007F00C7">
        <w:rPr>
          <w:color w:val="000000"/>
        </w:rPr>
        <w:t xml:space="preserve">, M., Still, C.J., Ritter, F., Winnick, M., Anderson, L., Carroll, R., Carbone, M., Williams, K.H., 2020. Persistence and plasticity in conifer water-use strategies. J. </w:t>
      </w:r>
      <w:proofErr w:type="spellStart"/>
      <w:r w:rsidRPr="007F00C7">
        <w:rPr>
          <w:color w:val="000000"/>
        </w:rPr>
        <w:t>Geophys</w:t>
      </w:r>
      <w:proofErr w:type="spellEnd"/>
      <w:r w:rsidRPr="007F00C7">
        <w:rPr>
          <w:color w:val="000000"/>
        </w:rPr>
        <w:t xml:space="preserve">. Res. </w:t>
      </w:r>
      <w:proofErr w:type="spellStart"/>
      <w:r w:rsidRPr="007F00C7">
        <w:rPr>
          <w:color w:val="000000"/>
        </w:rPr>
        <w:t>Biogeosciences</w:t>
      </w:r>
      <w:proofErr w:type="spellEnd"/>
      <w:r w:rsidRPr="007F00C7">
        <w:rPr>
          <w:color w:val="000000"/>
        </w:rPr>
        <w:t xml:space="preserve"> 125, 1–20. </w:t>
      </w:r>
      <w:hyperlink r:id="rId23">
        <w:r w:rsidRPr="007F00C7">
          <w:rPr>
            <w:color w:val="4F81BD"/>
          </w:rPr>
          <w:t>https://doi.org/10.1029/2018JG004845</w:t>
        </w:r>
      </w:hyperlink>
    </w:p>
    <w:p w14:paraId="00000178" w14:textId="77777777" w:rsidR="001527B5" w:rsidRPr="007F00C7" w:rsidRDefault="00000000">
      <w:pPr>
        <w:pBdr>
          <w:top w:val="nil"/>
          <w:left w:val="nil"/>
          <w:bottom w:val="nil"/>
          <w:right w:val="nil"/>
          <w:between w:val="nil"/>
        </w:pBdr>
        <w:spacing w:before="180" w:after="0"/>
        <w:ind w:left="720" w:hanging="720"/>
        <w:rPr>
          <w:color w:val="000000"/>
        </w:rPr>
      </w:pPr>
      <w:bookmarkStart w:id="51" w:name="bookmark=id.2zbgiuw" w:colFirst="0" w:colLast="0"/>
      <w:bookmarkEnd w:id="51"/>
      <w:proofErr w:type="spellStart"/>
      <w:r w:rsidRPr="007F00C7">
        <w:rPr>
          <w:color w:val="000000"/>
        </w:rPr>
        <w:lastRenderedPageBreak/>
        <w:t>Bolstad</w:t>
      </w:r>
      <w:proofErr w:type="spellEnd"/>
      <w:r w:rsidRPr="007F00C7">
        <w:rPr>
          <w:color w:val="000000"/>
        </w:rPr>
        <w:t xml:space="preserve">, P.V., Elliott, K.J., </w:t>
      </w:r>
      <w:proofErr w:type="spellStart"/>
      <w:r w:rsidRPr="007F00C7">
        <w:rPr>
          <w:color w:val="000000"/>
        </w:rPr>
        <w:t>Miniat</w:t>
      </w:r>
      <w:proofErr w:type="spellEnd"/>
      <w:r w:rsidRPr="007F00C7">
        <w:rPr>
          <w:color w:val="000000"/>
        </w:rPr>
        <w:t xml:space="preserve">, C.F., 2018. Forests, shrubs, and terrain: Top-down and bottom-up controls on forest structure. Ecosphere 9. </w:t>
      </w:r>
      <w:hyperlink r:id="rId24">
        <w:r w:rsidRPr="007F00C7">
          <w:rPr>
            <w:color w:val="4F81BD"/>
          </w:rPr>
          <w:t>https://doi.org/10.1002/ecs2.2185</w:t>
        </w:r>
      </w:hyperlink>
    </w:p>
    <w:p w14:paraId="00000179" w14:textId="77777777" w:rsidR="001527B5" w:rsidRPr="007F00C7" w:rsidRDefault="00000000">
      <w:pPr>
        <w:pBdr>
          <w:top w:val="nil"/>
          <w:left w:val="nil"/>
          <w:bottom w:val="nil"/>
          <w:right w:val="nil"/>
          <w:between w:val="nil"/>
        </w:pBdr>
        <w:spacing w:before="180" w:after="0"/>
        <w:ind w:left="720" w:hanging="720"/>
        <w:rPr>
          <w:color w:val="000000"/>
        </w:rPr>
      </w:pPr>
      <w:bookmarkStart w:id="52" w:name="bookmark=id.1egqt2p" w:colFirst="0" w:colLast="0"/>
      <w:bookmarkEnd w:id="52"/>
      <w:r w:rsidRPr="007F00C7">
        <w:rPr>
          <w:color w:val="000000"/>
        </w:rPr>
        <w:t xml:space="preserve">Bonner, H.M., Raleigh, M.S., Small, E.E., 2022. Isolating forest process effects on modelled snowpack density and snow water equivalent. </w:t>
      </w:r>
      <w:proofErr w:type="spellStart"/>
      <w:r w:rsidRPr="007F00C7">
        <w:rPr>
          <w:color w:val="000000"/>
        </w:rPr>
        <w:t>Hydrol</w:t>
      </w:r>
      <w:proofErr w:type="spellEnd"/>
      <w:r w:rsidRPr="007F00C7">
        <w:rPr>
          <w:color w:val="000000"/>
        </w:rPr>
        <w:t xml:space="preserve">. Process. 36, e14475. </w:t>
      </w:r>
      <w:hyperlink r:id="rId25">
        <w:r w:rsidRPr="007F00C7">
          <w:rPr>
            <w:color w:val="4F81BD"/>
          </w:rPr>
          <w:t>https://doi.org/10.1002/hyp.14475</w:t>
        </w:r>
      </w:hyperlink>
    </w:p>
    <w:p w14:paraId="0000017A" w14:textId="77777777" w:rsidR="001527B5" w:rsidRPr="007F00C7" w:rsidRDefault="00000000">
      <w:pPr>
        <w:pBdr>
          <w:top w:val="nil"/>
          <w:left w:val="nil"/>
          <w:bottom w:val="nil"/>
          <w:right w:val="nil"/>
          <w:between w:val="nil"/>
        </w:pBdr>
        <w:spacing w:before="180" w:after="0"/>
        <w:ind w:left="720" w:hanging="720"/>
        <w:rPr>
          <w:color w:val="000000"/>
        </w:rPr>
      </w:pPr>
      <w:bookmarkStart w:id="53" w:name="bookmark=id.3ygebqi" w:colFirst="0" w:colLast="0"/>
      <w:bookmarkEnd w:id="53"/>
      <w:r w:rsidRPr="007F00C7">
        <w:rPr>
          <w:color w:val="000000"/>
        </w:rPr>
        <w:t xml:space="preserve">Bruckner, A., </w:t>
      </w:r>
      <w:proofErr w:type="spellStart"/>
      <w:r w:rsidRPr="007F00C7">
        <w:rPr>
          <w:color w:val="000000"/>
        </w:rPr>
        <w:t>Kandeler</w:t>
      </w:r>
      <w:proofErr w:type="spellEnd"/>
      <w:r w:rsidRPr="007F00C7">
        <w:rPr>
          <w:color w:val="000000"/>
        </w:rPr>
        <w:t xml:space="preserve">, E., </w:t>
      </w:r>
      <w:proofErr w:type="spellStart"/>
      <w:r w:rsidRPr="007F00C7">
        <w:rPr>
          <w:color w:val="000000"/>
        </w:rPr>
        <w:t>Kampichler</w:t>
      </w:r>
      <w:proofErr w:type="spellEnd"/>
      <w:r w:rsidRPr="007F00C7">
        <w:rPr>
          <w:color w:val="000000"/>
        </w:rPr>
        <w:t xml:space="preserve">, C., 1999. Plot-scale spatial patterns of soil water content, pH, substrate-induced </w:t>
      </w:r>
      <w:proofErr w:type="gramStart"/>
      <w:r w:rsidRPr="007F00C7">
        <w:rPr>
          <w:color w:val="000000"/>
        </w:rPr>
        <w:t>respiration</w:t>
      </w:r>
      <w:proofErr w:type="gramEnd"/>
      <w:r w:rsidRPr="007F00C7">
        <w:rPr>
          <w:color w:val="000000"/>
        </w:rPr>
        <w:t xml:space="preserve"> and N mineralization in a temperate coniferous forest. </w:t>
      </w:r>
      <w:proofErr w:type="spellStart"/>
      <w:r w:rsidRPr="007F00C7">
        <w:rPr>
          <w:color w:val="000000"/>
        </w:rPr>
        <w:t>Geoderma</w:t>
      </w:r>
      <w:proofErr w:type="spellEnd"/>
      <w:r w:rsidRPr="007F00C7">
        <w:rPr>
          <w:color w:val="000000"/>
        </w:rPr>
        <w:t xml:space="preserve"> 93, 207–223. </w:t>
      </w:r>
      <w:hyperlink r:id="rId26">
        <w:r w:rsidRPr="007F00C7">
          <w:rPr>
            <w:color w:val="4F81BD"/>
          </w:rPr>
          <w:t>https://doi.org/10.1016/S0016-7061(99)00059-2</w:t>
        </w:r>
      </w:hyperlink>
    </w:p>
    <w:p w14:paraId="0000017B" w14:textId="77777777" w:rsidR="001527B5" w:rsidRPr="007F00C7" w:rsidRDefault="00000000">
      <w:pPr>
        <w:pBdr>
          <w:top w:val="nil"/>
          <w:left w:val="nil"/>
          <w:bottom w:val="nil"/>
          <w:right w:val="nil"/>
          <w:between w:val="nil"/>
        </w:pBdr>
        <w:spacing w:before="180" w:after="0"/>
        <w:ind w:left="720" w:hanging="720"/>
        <w:rPr>
          <w:color w:val="000000"/>
        </w:rPr>
      </w:pPr>
      <w:bookmarkStart w:id="54" w:name="bookmark=id.2dlolyb" w:colFirst="0" w:colLast="0"/>
      <w:bookmarkEnd w:id="54"/>
      <w:proofErr w:type="spellStart"/>
      <w:r w:rsidRPr="007F00C7">
        <w:rPr>
          <w:color w:val="000000"/>
        </w:rPr>
        <w:t>Buto</w:t>
      </w:r>
      <w:proofErr w:type="spellEnd"/>
      <w:r w:rsidRPr="007F00C7">
        <w:rPr>
          <w:color w:val="000000"/>
        </w:rPr>
        <w:t>, S.G., Spangler, L.E., Flint, A.L., Flint, L.E., 2017. Catchment-flowline network and selected model inputs for an enhanced and updated spatially referenced statistical assessment of dissolved-solids load sources and transport in streams of the Upper Colorado River Basin [dataset</w:t>
      </w:r>
      <w:r w:rsidRPr="007F00C7">
        <w:t>]</w:t>
      </w:r>
      <w:r w:rsidRPr="007F00C7">
        <w:rPr>
          <w:color w:val="000000"/>
        </w:rPr>
        <w:t xml:space="preserve">. U.S. Geological Survey data release. </w:t>
      </w:r>
      <w:hyperlink r:id="rId27">
        <w:r w:rsidRPr="007F00C7">
          <w:rPr>
            <w:color w:val="4F81BD"/>
          </w:rPr>
          <w:t>https://doi.org/10.5066/F76T0JT4</w:t>
        </w:r>
      </w:hyperlink>
    </w:p>
    <w:p w14:paraId="0000017C" w14:textId="2DDD4E40" w:rsidR="001527B5" w:rsidRPr="007F00C7" w:rsidRDefault="00000000">
      <w:pPr>
        <w:pBdr>
          <w:top w:val="nil"/>
          <w:left w:val="nil"/>
          <w:bottom w:val="nil"/>
          <w:right w:val="nil"/>
          <w:between w:val="nil"/>
        </w:pBdr>
        <w:spacing w:before="180" w:after="0"/>
        <w:ind w:left="720" w:hanging="720"/>
      </w:pPr>
      <w:proofErr w:type="spellStart"/>
      <w:r w:rsidRPr="007F00C7">
        <w:t>Cabon</w:t>
      </w:r>
      <w:proofErr w:type="spellEnd"/>
      <w:r w:rsidRPr="007F00C7">
        <w:t>, A., Peters, R.L., Fonti, P., Martínez-</w:t>
      </w:r>
      <w:proofErr w:type="spellStart"/>
      <w:r w:rsidRPr="007F00C7">
        <w:t>Vilalta</w:t>
      </w:r>
      <w:proofErr w:type="spellEnd"/>
      <w:r w:rsidRPr="007F00C7">
        <w:t xml:space="preserve">, J., De </w:t>
      </w:r>
      <w:proofErr w:type="spellStart"/>
      <w:r w:rsidRPr="007F00C7">
        <w:t>Cáceres</w:t>
      </w:r>
      <w:proofErr w:type="spellEnd"/>
      <w:r w:rsidRPr="007F00C7">
        <w:t xml:space="preserve">, M., 2020. Temperature and water potential co-limit stem cambial activity along a steep elevational gradient. New Phytol. 226, 1325–1340. </w:t>
      </w:r>
      <w:hyperlink r:id="rId28" w:history="1">
        <w:r w:rsidR="00D10761" w:rsidRPr="007F00C7">
          <w:rPr>
            <w:rStyle w:val="Hyperlink"/>
          </w:rPr>
          <w:t>https://doi.org/10.1111/nph.16456</w:t>
        </w:r>
      </w:hyperlink>
    </w:p>
    <w:p w14:paraId="0000017D" w14:textId="77777777" w:rsidR="001527B5" w:rsidRPr="007F00C7" w:rsidRDefault="00000000">
      <w:pPr>
        <w:pBdr>
          <w:top w:val="nil"/>
          <w:left w:val="nil"/>
          <w:bottom w:val="nil"/>
          <w:right w:val="nil"/>
          <w:between w:val="nil"/>
        </w:pBdr>
        <w:spacing w:before="180" w:after="0"/>
        <w:ind w:left="720" w:hanging="720"/>
        <w:rPr>
          <w:color w:val="000000"/>
        </w:rPr>
      </w:pPr>
      <w:bookmarkStart w:id="55" w:name="bookmark=id.sqyw64" w:colFirst="0" w:colLast="0"/>
      <w:bookmarkEnd w:id="55"/>
      <w:r w:rsidRPr="007F00C7">
        <w:rPr>
          <w:color w:val="000000"/>
        </w:rPr>
        <w:t xml:space="preserve">Carroll, R.W.H., Deems, J., Sprenger, M., Maxwell, R., Brown, W., Newman, A., </w:t>
      </w:r>
      <w:proofErr w:type="spellStart"/>
      <w:r w:rsidRPr="007F00C7">
        <w:rPr>
          <w:color w:val="000000"/>
        </w:rPr>
        <w:t>Beutler</w:t>
      </w:r>
      <w:proofErr w:type="spellEnd"/>
      <w:r w:rsidRPr="007F00C7">
        <w:rPr>
          <w:color w:val="000000"/>
        </w:rPr>
        <w:t xml:space="preserve">, C., Williams, K.H., 2022. Modeling snow dynamics and stable water isotopes across mountain landscapes. </w:t>
      </w:r>
      <w:proofErr w:type="spellStart"/>
      <w:r w:rsidRPr="007F00C7">
        <w:rPr>
          <w:color w:val="000000"/>
        </w:rPr>
        <w:t>Geophys</w:t>
      </w:r>
      <w:proofErr w:type="spellEnd"/>
      <w:r w:rsidRPr="007F00C7">
        <w:rPr>
          <w:color w:val="000000"/>
        </w:rPr>
        <w:t xml:space="preserve">. Res. Lett. 49, e2022GL098780. </w:t>
      </w:r>
      <w:hyperlink r:id="rId29">
        <w:r w:rsidRPr="007F00C7">
          <w:rPr>
            <w:color w:val="4F81BD"/>
          </w:rPr>
          <w:t>https://doi.org/10.1029/2022GL098780</w:t>
        </w:r>
      </w:hyperlink>
    </w:p>
    <w:p w14:paraId="0000017E" w14:textId="77777777" w:rsidR="001527B5" w:rsidRPr="007F00C7" w:rsidRDefault="00000000">
      <w:pPr>
        <w:pBdr>
          <w:top w:val="nil"/>
          <w:left w:val="nil"/>
          <w:bottom w:val="nil"/>
          <w:right w:val="nil"/>
          <w:between w:val="nil"/>
        </w:pBdr>
        <w:spacing w:before="180" w:after="0"/>
        <w:ind w:left="720" w:hanging="720"/>
        <w:rPr>
          <w:color w:val="000000"/>
        </w:rPr>
      </w:pPr>
      <w:bookmarkStart w:id="56" w:name="bookmark=id.3cqmetx" w:colFirst="0" w:colLast="0"/>
      <w:bookmarkEnd w:id="56"/>
      <w:r w:rsidRPr="007F00C7">
        <w:rPr>
          <w:color w:val="000000"/>
        </w:rPr>
        <w:t xml:space="preserve">Carroll, R.W.H., </w:t>
      </w:r>
      <w:proofErr w:type="spellStart"/>
      <w:r w:rsidRPr="007F00C7">
        <w:rPr>
          <w:color w:val="000000"/>
        </w:rPr>
        <w:t>Niswonger</w:t>
      </w:r>
      <w:proofErr w:type="spellEnd"/>
      <w:r w:rsidRPr="007F00C7">
        <w:rPr>
          <w:color w:val="000000"/>
        </w:rPr>
        <w:t xml:space="preserve">, R.G., Ulrich, C., </w:t>
      </w:r>
      <w:proofErr w:type="spellStart"/>
      <w:r w:rsidRPr="007F00C7">
        <w:rPr>
          <w:color w:val="000000"/>
        </w:rPr>
        <w:t>Varadharajan</w:t>
      </w:r>
      <w:proofErr w:type="spellEnd"/>
      <w:r w:rsidRPr="007F00C7">
        <w:rPr>
          <w:color w:val="000000"/>
        </w:rPr>
        <w:t xml:space="preserve">, C., </w:t>
      </w:r>
      <w:proofErr w:type="spellStart"/>
      <w:r w:rsidRPr="007F00C7">
        <w:rPr>
          <w:color w:val="000000"/>
        </w:rPr>
        <w:t>Siirila</w:t>
      </w:r>
      <w:proofErr w:type="spellEnd"/>
      <w:r w:rsidRPr="007F00C7">
        <w:rPr>
          <w:color w:val="000000"/>
        </w:rPr>
        <w:t xml:space="preserve">-Woodburn, E.R., Williams, K.H., 2024. Declining groundwater storage expected to amplify mountain streamflow reductions in a warmer world. Nat. Water 2, 419–433. </w:t>
      </w:r>
      <w:hyperlink r:id="rId30">
        <w:r w:rsidRPr="007F00C7">
          <w:rPr>
            <w:color w:val="4F81BD"/>
          </w:rPr>
          <w:t>https://doi.org/10.1038/s44221-024-00239-0</w:t>
        </w:r>
      </w:hyperlink>
    </w:p>
    <w:p w14:paraId="0000017F" w14:textId="77777777" w:rsidR="001527B5" w:rsidRPr="007F00C7" w:rsidRDefault="00000000">
      <w:pPr>
        <w:pBdr>
          <w:top w:val="nil"/>
          <w:left w:val="nil"/>
          <w:bottom w:val="nil"/>
          <w:right w:val="nil"/>
          <w:between w:val="nil"/>
        </w:pBdr>
        <w:spacing w:before="180" w:after="0"/>
        <w:ind w:left="720" w:hanging="720"/>
        <w:rPr>
          <w:color w:val="000000"/>
        </w:rPr>
      </w:pPr>
      <w:bookmarkStart w:id="57" w:name="bookmark=id.1rvwp1q" w:colFirst="0" w:colLast="0"/>
      <w:bookmarkEnd w:id="57"/>
      <w:r w:rsidRPr="007F00C7">
        <w:rPr>
          <w:color w:val="000000"/>
        </w:rPr>
        <w:t xml:space="preserve">Chadwick, K.D., </w:t>
      </w:r>
      <w:proofErr w:type="spellStart"/>
      <w:r w:rsidRPr="007F00C7">
        <w:rPr>
          <w:color w:val="000000"/>
        </w:rPr>
        <w:t>Brodrick</w:t>
      </w:r>
      <w:proofErr w:type="spellEnd"/>
      <w:r w:rsidRPr="007F00C7">
        <w:rPr>
          <w:color w:val="000000"/>
        </w:rPr>
        <w:t xml:space="preserve">, P.G., Grant, K., </w:t>
      </w:r>
      <w:proofErr w:type="spellStart"/>
      <w:r w:rsidRPr="007F00C7">
        <w:rPr>
          <w:color w:val="000000"/>
        </w:rPr>
        <w:t>Goulden</w:t>
      </w:r>
      <w:proofErr w:type="spellEnd"/>
      <w:r w:rsidRPr="007F00C7">
        <w:rPr>
          <w:color w:val="000000"/>
        </w:rPr>
        <w:t xml:space="preserve">, T., Henderson, A., Falco, N., Wainwright, H., Williams, K.H., Bill, M., </w:t>
      </w:r>
      <w:proofErr w:type="spellStart"/>
      <w:r w:rsidRPr="007F00C7">
        <w:rPr>
          <w:color w:val="000000"/>
        </w:rPr>
        <w:t>Breckheimer</w:t>
      </w:r>
      <w:proofErr w:type="spellEnd"/>
      <w:r w:rsidRPr="007F00C7">
        <w:rPr>
          <w:color w:val="000000"/>
        </w:rPr>
        <w:t xml:space="preserve">, I., Brodie, E.L., </w:t>
      </w:r>
      <w:proofErr w:type="spellStart"/>
      <w:r w:rsidRPr="007F00C7">
        <w:rPr>
          <w:color w:val="000000"/>
        </w:rPr>
        <w:t>Steltzer</w:t>
      </w:r>
      <w:proofErr w:type="spellEnd"/>
      <w:r w:rsidRPr="007F00C7">
        <w:rPr>
          <w:color w:val="000000"/>
        </w:rPr>
        <w:t xml:space="preserve">, H., Williams, C.F.R., Blonder, B., Chen, J., </w:t>
      </w:r>
      <w:proofErr w:type="spellStart"/>
      <w:r w:rsidRPr="007F00C7">
        <w:rPr>
          <w:color w:val="000000"/>
        </w:rPr>
        <w:t>Dafflon</w:t>
      </w:r>
      <w:proofErr w:type="spellEnd"/>
      <w:r w:rsidRPr="007F00C7">
        <w:rPr>
          <w:color w:val="000000"/>
        </w:rPr>
        <w:t xml:space="preserve">, B., </w:t>
      </w:r>
      <w:proofErr w:type="spellStart"/>
      <w:r w:rsidRPr="007F00C7">
        <w:rPr>
          <w:color w:val="000000"/>
        </w:rPr>
        <w:t>Damerow</w:t>
      </w:r>
      <w:proofErr w:type="spellEnd"/>
      <w:r w:rsidRPr="007F00C7">
        <w:rPr>
          <w:color w:val="000000"/>
        </w:rPr>
        <w:t xml:space="preserve">, J., </w:t>
      </w:r>
      <w:proofErr w:type="spellStart"/>
      <w:r w:rsidRPr="007F00C7">
        <w:rPr>
          <w:color w:val="000000"/>
        </w:rPr>
        <w:t>Hancher</w:t>
      </w:r>
      <w:proofErr w:type="spellEnd"/>
      <w:r w:rsidRPr="007F00C7">
        <w:rPr>
          <w:color w:val="000000"/>
        </w:rPr>
        <w:t xml:space="preserve">, M., Khurram, A., Lamb, J., Lawrence, C.R., McCormick, M., </w:t>
      </w:r>
      <w:proofErr w:type="spellStart"/>
      <w:r w:rsidRPr="007F00C7">
        <w:rPr>
          <w:color w:val="000000"/>
        </w:rPr>
        <w:t>Musinsky</w:t>
      </w:r>
      <w:proofErr w:type="spellEnd"/>
      <w:r w:rsidRPr="007F00C7">
        <w:rPr>
          <w:color w:val="000000"/>
        </w:rPr>
        <w:t xml:space="preserve">, J., Pierce, S., </w:t>
      </w:r>
      <w:proofErr w:type="spellStart"/>
      <w:r w:rsidRPr="007F00C7">
        <w:rPr>
          <w:color w:val="000000"/>
        </w:rPr>
        <w:t>Polussa</w:t>
      </w:r>
      <w:proofErr w:type="spellEnd"/>
      <w:r w:rsidRPr="007F00C7">
        <w:rPr>
          <w:color w:val="000000"/>
        </w:rPr>
        <w:t xml:space="preserve">, A., Hastings </w:t>
      </w:r>
      <w:proofErr w:type="spellStart"/>
      <w:r w:rsidRPr="007F00C7">
        <w:rPr>
          <w:color w:val="000000"/>
        </w:rPr>
        <w:t>Porro</w:t>
      </w:r>
      <w:proofErr w:type="spellEnd"/>
      <w:r w:rsidRPr="007F00C7">
        <w:rPr>
          <w:color w:val="000000"/>
        </w:rPr>
        <w:t xml:space="preserve">, M., Scott, A., Singh, H.W., Sorensen, P.O., </w:t>
      </w:r>
      <w:proofErr w:type="spellStart"/>
      <w:r w:rsidRPr="007F00C7">
        <w:rPr>
          <w:color w:val="000000"/>
        </w:rPr>
        <w:t>Varadharajan</w:t>
      </w:r>
      <w:proofErr w:type="spellEnd"/>
      <w:r w:rsidRPr="007F00C7">
        <w:rPr>
          <w:color w:val="000000"/>
        </w:rPr>
        <w:t xml:space="preserve">, C., Whitney, B., Maher, K., 2020. Integrating airborne remote sensing and field campaigns for ecology and Earth system science. Methods Ecol. </w:t>
      </w:r>
      <w:proofErr w:type="spellStart"/>
      <w:r w:rsidRPr="007F00C7">
        <w:rPr>
          <w:color w:val="000000"/>
        </w:rPr>
        <w:t>Evol</w:t>
      </w:r>
      <w:proofErr w:type="spellEnd"/>
      <w:r w:rsidRPr="007F00C7">
        <w:rPr>
          <w:color w:val="000000"/>
        </w:rPr>
        <w:t xml:space="preserve">. 11, 1492–1508. </w:t>
      </w:r>
      <w:hyperlink r:id="rId31">
        <w:r w:rsidRPr="007F00C7">
          <w:rPr>
            <w:color w:val="4F81BD"/>
          </w:rPr>
          <w:t>https://doi.org/10.1111/2041-210X.13463</w:t>
        </w:r>
      </w:hyperlink>
    </w:p>
    <w:p w14:paraId="00000180" w14:textId="77777777" w:rsidR="001527B5" w:rsidRPr="007F00C7" w:rsidRDefault="00000000">
      <w:pPr>
        <w:pBdr>
          <w:top w:val="nil"/>
          <w:left w:val="nil"/>
          <w:bottom w:val="nil"/>
          <w:right w:val="nil"/>
          <w:between w:val="nil"/>
        </w:pBdr>
        <w:spacing w:before="180" w:after="0"/>
        <w:ind w:left="720" w:hanging="720"/>
        <w:rPr>
          <w:color w:val="000000"/>
        </w:rPr>
      </w:pPr>
      <w:bookmarkStart w:id="58" w:name="bookmark=id.4bvk7pj" w:colFirst="0" w:colLast="0"/>
      <w:bookmarkEnd w:id="58"/>
      <w:proofErr w:type="spellStart"/>
      <w:r w:rsidRPr="007F00C7">
        <w:rPr>
          <w:color w:val="000000"/>
        </w:rPr>
        <w:t>Chauve</w:t>
      </w:r>
      <w:proofErr w:type="spellEnd"/>
      <w:r w:rsidRPr="007F00C7">
        <w:rPr>
          <w:color w:val="000000"/>
        </w:rPr>
        <w:t xml:space="preserve">, A., Vega, C., </w:t>
      </w:r>
      <w:proofErr w:type="spellStart"/>
      <w:r w:rsidRPr="007F00C7">
        <w:rPr>
          <w:color w:val="000000"/>
        </w:rPr>
        <w:t>Durrieu</w:t>
      </w:r>
      <w:proofErr w:type="spellEnd"/>
      <w:r w:rsidRPr="007F00C7">
        <w:rPr>
          <w:color w:val="000000"/>
        </w:rPr>
        <w:t xml:space="preserve">, S., </w:t>
      </w:r>
      <w:proofErr w:type="spellStart"/>
      <w:r w:rsidRPr="007F00C7">
        <w:rPr>
          <w:color w:val="000000"/>
        </w:rPr>
        <w:t>Bretar</w:t>
      </w:r>
      <w:proofErr w:type="spellEnd"/>
      <w:r w:rsidRPr="007F00C7">
        <w:rPr>
          <w:color w:val="000000"/>
        </w:rPr>
        <w:t xml:space="preserve">, F., </w:t>
      </w:r>
      <w:proofErr w:type="spellStart"/>
      <w:r w:rsidRPr="007F00C7">
        <w:rPr>
          <w:color w:val="000000"/>
        </w:rPr>
        <w:t>Allouis</w:t>
      </w:r>
      <w:proofErr w:type="spellEnd"/>
      <w:r w:rsidRPr="007F00C7">
        <w:rPr>
          <w:color w:val="000000"/>
        </w:rPr>
        <w:t xml:space="preserve">, T., Pierrot </w:t>
      </w:r>
      <w:proofErr w:type="spellStart"/>
      <w:r w:rsidRPr="007F00C7">
        <w:rPr>
          <w:color w:val="000000"/>
        </w:rPr>
        <w:t>Deseilligny</w:t>
      </w:r>
      <w:proofErr w:type="spellEnd"/>
      <w:r w:rsidRPr="007F00C7">
        <w:rPr>
          <w:color w:val="000000"/>
        </w:rPr>
        <w:t xml:space="preserve">, M., Puech, W., 2009. Advanced full-waveform LiDAR data echo detection: Assessing quality of derived terrain and tree height models in an alpine coniferous forest. Int. J. Remote Sens. 30, 5211–5228. </w:t>
      </w:r>
      <w:hyperlink r:id="rId32">
        <w:r w:rsidRPr="007F00C7">
          <w:rPr>
            <w:color w:val="4F81BD"/>
          </w:rPr>
          <w:t>https://doi.org/10.1080/01431160903023009</w:t>
        </w:r>
      </w:hyperlink>
    </w:p>
    <w:p w14:paraId="00000181" w14:textId="77777777" w:rsidR="001527B5" w:rsidRPr="007F00C7" w:rsidRDefault="00000000">
      <w:pPr>
        <w:pBdr>
          <w:top w:val="nil"/>
          <w:left w:val="nil"/>
          <w:bottom w:val="nil"/>
          <w:right w:val="nil"/>
          <w:between w:val="nil"/>
        </w:pBdr>
        <w:spacing w:before="180" w:after="0"/>
        <w:ind w:left="720" w:hanging="720"/>
        <w:rPr>
          <w:color w:val="000000"/>
        </w:rPr>
      </w:pPr>
      <w:bookmarkStart w:id="59" w:name="bookmark=id.2r0uhxc" w:colFirst="0" w:colLast="0"/>
      <w:bookmarkEnd w:id="59"/>
      <w:proofErr w:type="spellStart"/>
      <w:r w:rsidRPr="007F00C7">
        <w:rPr>
          <w:color w:val="000000"/>
        </w:rPr>
        <w:t>Conlisk</w:t>
      </w:r>
      <w:proofErr w:type="spellEnd"/>
      <w:r w:rsidRPr="007F00C7">
        <w:rPr>
          <w:color w:val="000000"/>
        </w:rPr>
        <w:t xml:space="preserve">, E., Castanha, C., </w:t>
      </w:r>
      <w:proofErr w:type="spellStart"/>
      <w:r w:rsidRPr="007F00C7">
        <w:rPr>
          <w:color w:val="000000"/>
        </w:rPr>
        <w:t>Germino</w:t>
      </w:r>
      <w:proofErr w:type="spellEnd"/>
      <w:r w:rsidRPr="007F00C7">
        <w:rPr>
          <w:color w:val="000000"/>
        </w:rPr>
        <w:t xml:space="preserve">, M.J., Veblen, T.T., Smith, J.M., </w:t>
      </w:r>
      <w:proofErr w:type="spellStart"/>
      <w:r w:rsidRPr="007F00C7">
        <w:rPr>
          <w:color w:val="000000"/>
        </w:rPr>
        <w:t>Kueppers</w:t>
      </w:r>
      <w:proofErr w:type="spellEnd"/>
      <w:r w:rsidRPr="007F00C7">
        <w:rPr>
          <w:color w:val="000000"/>
        </w:rPr>
        <w:t xml:space="preserve">, L.M., 2017. Declines in low-elevation subalpine tree populations outpace growth in high-elevation </w:t>
      </w:r>
      <w:r w:rsidRPr="007F00C7">
        <w:rPr>
          <w:color w:val="000000"/>
        </w:rPr>
        <w:lastRenderedPageBreak/>
        <w:t xml:space="preserve">populations with warming. J. Ecol. 105, 1347–1357. </w:t>
      </w:r>
      <w:hyperlink r:id="rId33">
        <w:r w:rsidRPr="007F00C7">
          <w:rPr>
            <w:color w:val="4F81BD"/>
          </w:rPr>
          <w:t>https://doi.org/10.1111/1365-2745.12750</w:t>
        </w:r>
      </w:hyperlink>
    </w:p>
    <w:p w14:paraId="00000182" w14:textId="77777777" w:rsidR="001527B5" w:rsidRPr="007F00C7" w:rsidRDefault="00000000">
      <w:pPr>
        <w:pBdr>
          <w:top w:val="nil"/>
          <w:left w:val="nil"/>
          <w:bottom w:val="nil"/>
          <w:right w:val="nil"/>
          <w:between w:val="nil"/>
        </w:pBdr>
        <w:spacing w:before="180" w:after="0"/>
        <w:ind w:left="720" w:hanging="720"/>
        <w:rPr>
          <w:color w:val="000000"/>
        </w:rPr>
      </w:pPr>
      <w:bookmarkStart w:id="60" w:name="bookmark=id.1664s55" w:colFirst="0" w:colLast="0"/>
      <w:bookmarkEnd w:id="60"/>
      <w:proofErr w:type="spellStart"/>
      <w:r w:rsidRPr="007F00C7">
        <w:rPr>
          <w:color w:val="000000"/>
        </w:rPr>
        <w:t>Coulthard</w:t>
      </w:r>
      <w:proofErr w:type="spellEnd"/>
      <w:r w:rsidRPr="007F00C7">
        <w:rPr>
          <w:color w:val="000000"/>
        </w:rPr>
        <w:t xml:space="preserve">, B.L., </w:t>
      </w:r>
      <w:proofErr w:type="spellStart"/>
      <w:r w:rsidRPr="007F00C7">
        <w:rPr>
          <w:color w:val="000000"/>
        </w:rPr>
        <w:t>Anchukaitis</w:t>
      </w:r>
      <w:proofErr w:type="spellEnd"/>
      <w:r w:rsidRPr="007F00C7">
        <w:rPr>
          <w:color w:val="000000"/>
        </w:rPr>
        <w:t xml:space="preserve">, K.J., Pederson, G.T., Cook, E., </w:t>
      </w:r>
      <w:proofErr w:type="spellStart"/>
      <w:r w:rsidRPr="007F00C7">
        <w:rPr>
          <w:color w:val="000000"/>
        </w:rPr>
        <w:t>Littell</w:t>
      </w:r>
      <w:proofErr w:type="spellEnd"/>
      <w:r w:rsidRPr="007F00C7">
        <w:rPr>
          <w:color w:val="000000"/>
        </w:rPr>
        <w:t xml:space="preserve">, J., Smith, D.J., 2021. Snowpack signals in North American tree rings. Environ. Res. Lett. 16, 034037. </w:t>
      </w:r>
      <w:hyperlink r:id="rId34">
        <w:r w:rsidRPr="007F00C7">
          <w:rPr>
            <w:color w:val="4F81BD"/>
          </w:rPr>
          <w:t>https://doi.org/10.1088/1748-9326/abd5de</w:t>
        </w:r>
      </w:hyperlink>
    </w:p>
    <w:p w14:paraId="00000183" w14:textId="77777777" w:rsidR="001527B5" w:rsidRPr="007F00C7" w:rsidRDefault="00000000">
      <w:pPr>
        <w:pBdr>
          <w:top w:val="nil"/>
          <w:left w:val="nil"/>
          <w:bottom w:val="nil"/>
          <w:right w:val="nil"/>
          <w:between w:val="nil"/>
        </w:pBdr>
        <w:spacing w:before="180" w:after="0"/>
        <w:ind w:left="720" w:hanging="720"/>
        <w:rPr>
          <w:color w:val="4F81BD"/>
        </w:rPr>
      </w:pPr>
      <w:proofErr w:type="spellStart"/>
      <w:r w:rsidRPr="007F00C7">
        <w:t>Dalponte</w:t>
      </w:r>
      <w:proofErr w:type="spellEnd"/>
      <w:r w:rsidRPr="007F00C7">
        <w:t xml:space="preserve">, M., </w:t>
      </w:r>
      <w:proofErr w:type="spellStart"/>
      <w:r w:rsidRPr="007F00C7">
        <w:t>Coomes</w:t>
      </w:r>
      <w:proofErr w:type="spellEnd"/>
      <w:r w:rsidRPr="007F00C7">
        <w:t>, D.A., 2016. Tree-centric mapping of forest carbon density from airborne laser scanning and hyperspectral data. Methods in Ecology and Evolution 7, 1236–1245.</w:t>
      </w:r>
      <w:hyperlink r:id="rId35">
        <w:r w:rsidRPr="007F00C7">
          <w:t xml:space="preserve"> </w:t>
        </w:r>
      </w:hyperlink>
      <w:hyperlink r:id="rId36">
        <w:r w:rsidRPr="007F00C7">
          <w:rPr>
            <w:color w:val="4F81BD"/>
          </w:rPr>
          <w:t>https://doi.org/10.1111/2041-210X.12575</w:t>
        </w:r>
      </w:hyperlink>
    </w:p>
    <w:p w14:paraId="00000184" w14:textId="77777777" w:rsidR="001527B5" w:rsidRPr="007F00C7" w:rsidRDefault="00000000">
      <w:pPr>
        <w:pBdr>
          <w:top w:val="nil"/>
          <w:left w:val="nil"/>
          <w:bottom w:val="nil"/>
          <w:right w:val="nil"/>
          <w:between w:val="nil"/>
        </w:pBdr>
        <w:spacing w:before="180" w:after="0"/>
        <w:ind w:left="720" w:hanging="720"/>
        <w:rPr>
          <w:color w:val="000000"/>
        </w:rPr>
      </w:pPr>
      <w:bookmarkStart w:id="61" w:name="bookmark=id.3q5sasy" w:colFirst="0" w:colLast="0"/>
      <w:bookmarkEnd w:id="61"/>
      <w:proofErr w:type="spellStart"/>
      <w:r w:rsidRPr="007F00C7">
        <w:rPr>
          <w:color w:val="000000"/>
        </w:rPr>
        <w:t>Dalponte</w:t>
      </w:r>
      <w:proofErr w:type="spellEnd"/>
      <w:r w:rsidRPr="007F00C7">
        <w:rPr>
          <w:color w:val="000000"/>
        </w:rPr>
        <w:t xml:space="preserve">, M., </w:t>
      </w:r>
      <w:proofErr w:type="spellStart"/>
      <w:r w:rsidRPr="007F00C7">
        <w:rPr>
          <w:color w:val="000000"/>
        </w:rPr>
        <w:t>Frizzera</w:t>
      </w:r>
      <w:proofErr w:type="spellEnd"/>
      <w:r w:rsidRPr="007F00C7">
        <w:rPr>
          <w:color w:val="000000"/>
        </w:rPr>
        <w:t xml:space="preserve">, L., </w:t>
      </w:r>
      <w:proofErr w:type="spellStart"/>
      <w:r w:rsidRPr="007F00C7">
        <w:rPr>
          <w:color w:val="000000"/>
        </w:rPr>
        <w:t>Gianelle</w:t>
      </w:r>
      <w:proofErr w:type="spellEnd"/>
      <w:r w:rsidRPr="007F00C7">
        <w:rPr>
          <w:color w:val="000000"/>
        </w:rPr>
        <w:t xml:space="preserve">, D., 2019. Individual tree crown delineation and tree species classification with hyperspectral and LiDAR data. </w:t>
      </w:r>
      <w:proofErr w:type="spellStart"/>
      <w:r w:rsidRPr="007F00C7">
        <w:rPr>
          <w:color w:val="000000"/>
        </w:rPr>
        <w:t>PeerJ</w:t>
      </w:r>
      <w:proofErr w:type="spellEnd"/>
      <w:r w:rsidRPr="007F00C7">
        <w:rPr>
          <w:color w:val="000000"/>
        </w:rPr>
        <w:t xml:space="preserve"> </w:t>
      </w:r>
      <w:proofErr w:type="gramStart"/>
      <w:r w:rsidRPr="007F00C7">
        <w:t>6:e</w:t>
      </w:r>
      <w:proofErr w:type="gramEnd"/>
      <w:r w:rsidRPr="007F00C7">
        <w:t>6227</w:t>
      </w:r>
      <w:r w:rsidRPr="007F00C7">
        <w:rPr>
          <w:color w:val="000000"/>
        </w:rPr>
        <w:t xml:space="preserve">. </w:t>
      </w:r>
      <w:hyperlink r:id="rId37">
        <w:r w:rsidRPr="007F00C7">
          <w:rPr>
            <w:color w:val="4F81BD"/>
          </w:rPr>
          <w:t>https://doi.org/10.7717/peerj.6227</w:t>
        </w:r>
      </w:hyperlink>
    </w:p>
    <w:p w14:paraId="00000185" w14:textId="77777777" w:rsidR="001527B5" w:rsidRPr="007F00C7" w:rsidRDefault="00000000">
      <w:pPr>
        <w:pBdr>
          <w:top w:val="nil"/>
          <w:left w:val="nil"/>
          <w:bottom w:val="nil"/>
          <w:right w:val="nil"/>
          <w:between w:val="nil"/>
        </w:pBdr>
        <w:spacing w:before="180" w:after="0"/>
        <w:ind w:left="720" w:hanging="720"/>
        <w:rPr>
          <w:color w:val="000000"/>
        </w:rPr>
      </w:pPr>
      <w:bookmarkStart w:id="62" w:name="bookmark=id.25b2l0r" w:colFirst="0" w:colLast="0"/>
      <w:bookmarkEnd w:id="62"/>
      <w:r w:rsidRPr="007F00C7">
        <w:rPr>
          <w:color w:val="000000"/>
        </w:rPr>
        <w:t xml:space="preserve">De Reu, J., Bourgeois, J., Bats, M., </w:t>
      </w:r>
      <w:proofErr w:type="spellStart"/>
      <w:r w:rsidRPr="007F00C7">
        <w:rPr>
          <w:color w:val="000000"/>
        </w:rPr>
        <w:t>Zwertvaegher</w:t>
      </w:r>
      <w:proofErr w:type="spellEnd"/>
      <w:r w:rsidRPr="007F00C7">
        <w:rPr>
          <w:color w:val="000000"/>
        </w:rPr>
        <w:t xml:space="preserve">, A., </w:t>
      </w:r>
      <w:proofErr w:type="spellStart"/>
      <w:r w:rsidRPr="007F00C7">
        <w:rPr>
          <w:color w:val="000000"/>
        </w:rPr>
        <w:t>Gelorini</w:t>
      </w:r>
      <w:proofErr w:type="spellEnd"/>
      <w:r w:rsidRPr="007F00C7">
        <w:rPr>
          <w:color w:val="000000"/>
        </w:rPr>
        <w:t xml:space="preserve">, V., De </w:t>
      </w:r>
      <w:proofErr w:type="spellStart"/>
      <w:r w:rsidRPr="007F00C7">
        <w:rPr>
          <w:color w:val="000000"/>
        </w:rPr>
        <w:t>Smedt</w:t>
      </w:r>
      <w:proofErr w:type="spellEnd"/>
      <w:r w:rsidRPr="007F00C7">
        <w:rPr>
          <w:color w:val="000000"/>
        </w:rPr>
        <w:t xml:space="preserve">, P., Chu, W., </w:t>
      </w:r>
      <w:proofErr w:type="spellStart"/>
      <w:r w:rsidRPr="007F00C7">
        <w:rPr>
          <w:color w:val="000000"/>
        </w:rPr>
        <w:t>Antrop</w:t>
      </w:r>
      <w:proofErr w:type="spellEnd"/>
      <w:r w:rsidRPr="007F00C7">
        <w:rPr>
          <w:color w:val="000000"/>
        </w:rPr>
        <w:t xml:space="preserve">, M., De </w:t>
      </w:r>
      <w:proofErr w:type="spellStart"/>
      <w:r w:rsidRPr="007F00C7">
        <w:rPr>
          <w:color w:val="000000"/>
        </w:rPr>
        <w:t>Maeyer</w:t>
      </w:r>
      <w:proofErr w:type="spellEnd"/>
      <w:r w:rsidRPr="007F00C7">
        <w:rPr>
          <w:color w:val="000000"/>
        </w:rPr>
        <w:t xml:space="preserve">, P., Finke, P., Van </w:t>
      </w:r>
      <w:proofErr w:type="spellStart"/>
      <w:r w:rsidRPr="007F00C7">
        <w:rPr>
          <w:color w:val="000000"/>
        </w:rPr>
        <w:t>Meirvenne</w:t>
      </w:r>
      <w:proofErr w:type="spellEnd"/>
      <w:r w:rsidRPr="007F00C7">
        <w:rPr>
          <w:color w:val="000000"/>
        </w:rPr>
        <w:t xml:space="preserve">, M., Verniers, J., </w:t>
      </w:r>
      <w:proofErr w:type="spellStart"/>
      <w:r w:rsidRPr="007F00C7">
        <w:rPr>
          <w:color w:val="000000"/>
        </w:rPr>
        <w:t>Crombé</w:t>
      </w:r>
      <w:proofErr w:type="spellEnd"/>
      <w:r w:rsidRPr="007F00C7">
        <w:rPr>
          <w:color w:val="000000"/>
        </w:rPr>
        <w:t xml:space="preserve">, P., 2013. Application of the topographic position index to heterogeneous landscapes. Geomorphology 186, 39–49. </w:t>
      </w:r>
      <w:hyperlink r:id="rId38">
        <w:r w:rsidRPr="007F00C7">
          <w:rPr>
            <w:color w:val="4F81BD"/>
          </w:rPr>
          <w:t>https://doi.org/10.1016/j.geomorph.2012.12.015</w:t>
        </w:r>
      </w:hyperlink>
    </w:p>
    <w:p w14:paraId="00000186" w14:textId="77777777" w:rsidR="001527B5" w:rsidRPr="007F00C7" w:rsidRDefault="00000000">
      <w:pPr>
        <w:pBdr>
          <w:top w:val="nil"/>
          <w:left w:val="nil"/>
          <w:bottom w:val="nil"/>
          <w:right w:val="nil"/>
          <w:between w:val="nil"/>
        </w:pBdr>
        <w:spacing w:before="180" w:after="0"/>
        <w:ind w:left="720" w:hanging="720"/>
        <w:rPr>
          <w:color w:val="000000"/>
        </w:rPr>
      </w:pPr>
      <w:bookmarkStart w:id="63" w:name="bookmark=id.kgcv8k" w:colFirst="0" w:colLast="0"/>
      <w:bookmarkEnd w:id="63"/>
      <w:r w:rsidRPr="007F00C7">
        <w:rPr>
          <w:color w:val="000000"/>
        </w:rPr>
        <w:t xml:space="preserve">Deems, J.S., Painter, T.H., Finnegan, D.C., 2013. Lidar measurement of snow depth: A review. J. </w:t>
      </w:r>
      <w:proofErr w:type="spellStart"/>
      <w:r w:rsidRPr="007F00C7">
        <w:rPr>
          <w:color w:val="000000"/>
        </w:rPr>
        <w:t>Glaciol</w:t>
      </w:r>
      <w:proofErr w:type="spellEnd"/>
      <w:r w:rsidRPr="007F00C7">
        <w:rPr>
          <w:color w:val="000000"/>
        </w:rPr>
        <w:t xml:space="preserve">. 59, 467–479. </w:t>
      </w:r>
      <w:hyperlink r:id="rId39">
        <w:r w:rsidRPr="007F00C7">
          <w:rPr>
            <w:color w:val="4F81BD"/>
          </w:rPr>
          <w:t>https://doi.org/10.3189/2013JoG12J154</w:t>
        </w:r>
      </w:hyperlink>
    </w:p>
    <w:p w14:paraId="00000187" w14:textId="77777777" w:rsidR="001527B5" w:rsidRPr="007F00C7" w:rsidRDefault="00000000">
      <w:pPr>
        <w:pBdr>
          <w:top w:val="nil"/>
          <w:left w:val="nil"/>
          <w:bottom w:val="nil"/>
          <w:right w:val="nil"/>
          <w:between w:val="nil"/>
        </w:pBdr>
        <w:spacing w:before="180" w:after="0"/>
        <w:ind w:left="720" w:hanging="720"/>
        <w:rPr>
          <w:color w:val="000000"/>
        </w:rPr>
      </w:pPr>
      <w:bookmarkStart w:id="64" w:name="bookmark=id.34g0dwd" w:colFirst="0" w:colLast="0"/>
      <w:bookmarkEnd w:id="64"/>
      <w:proofErr w:type="spellStart"/>
      <w:r w:rsidRPr="007F00C7">
        <w:rPr>
          <w:color w:val="000000"/>
        </w:rPr>
        <w:t>Delcourt</w:t>
      </w:r>
      <w:proofErr w:type="spellEnd"/>
      <w:r w:rsidRPr="007F00C7">
        <w:rPr>
          <w:color w:val="000000"/>
        </w:rPr>
        <w:t xml:space="preserve">, H.R., </w:t>
      </w:r>
      <w:proofErr w:type="spellStart"/>
      <w:r w:rsidRPr="007F00C7">
        <w:rPr>
          <w:color w:val="000000"/>
        </w:rPr>
        <w:t>Delcourt</w:t>
      </w:r>
      <w:proofErr w:type="spellEnd"/>
      <w:r w:rsidRPr="007F00C7">
        <w:rPr>
          <w:color w:val="000000"/>
        </w:rPr>
        <w:t xml:space="preserve">, P.A., Webb, T., 1983. Dynamic plant ecology: The spectrum of vegetational change in space and time. Quat. Sci. Rev. 1, 153–175. </w:t>
      </w:r>
      <w:hyperlink r:id="rId40">
        <w:r w:rsidRPr="007F00C7">
          <w:rPr>
            <w:color w:val="4F81BD"/>
          </w:rPr>
          <w:t>https://doi.org/10.1016/0277-3791(82)90008-7</w:t>
        </w:r>
      </w:hyperlink>
    </w:p>
    <w:p w14:paraId="00000188" w14:textId="77777777" w:rsidR="001527B5" w:rsidRPr="007F00C7" w:rsidRDefault="00000000">
      <w:pPr>
        <w:pBdr>
          <w:top w:val="nil"/>
          <w:left w:val="nil"/>
          <w:bottom w:val="nil"/>
          <w:right w:val="nil"/>
          <w:between w:val="nil"/>
        </w:pBdr>
        <w:spacing w:before="180" w:after="0"/>
        <w:ind w:left="720" w:hanging="720"/>
        <w:rPr>
          <w:color w:val="000000"/>
        </w:rPr>
      </w:pPr>
      <w:bookmarkStart w:id="65" w:name="bookmark=id.1jlao46" w:colFirst="0" w:colLast="0"/>
      <w:bookmarkEnd w:id="65"/>
      <w:r w:rsidRPr="007F00C7">
        <w:rPr>
          <w:color w:val="000000"/>
        </w:rPr>
        <w:t>Delgado-</w:t>
      </w:r>
      <w:proofErr w:type="spellStart"/>
      <w:r w:rsidRPr="007F00C7">
        <w:rPr>
          <w:color w:val="000000"/>
        </w:rPr>
        <w:t>Baquerizo</w:t>
      </w:r>
      <w:proofErr w:type="spellEnd"/>
      <w:r w:rsidRPr="007F00C7">
        <w:rPr>
          <w:color w:val="000000"/>
        </w:rPr>
        <w:t xml:space="preserve">, M., Reich, P.B., </w:t>
      </w:r>
      <w:proofErr w:type="spellStart"/>
      <w:r w:rsidRPr="007F00C7">
        <w:rPr>
          <w:color w:val="000000"/>
        </w:rPr>
        <w:t>Bardgett</w:t>
      </w:r>
      <w:proofErr w:type="spellEnd"/>
      <w:r w:rsidRPr="007F00C7">
        <w:rPr>
          <w:color w:val="000000"/>
        </w:rPr>
        <w:t xml:space="preserve">, R.D., Eldridge, D.J., Lambers, H., Wardle, D.A., Reed, S.C., Plaza, C., </w:t>
      </w:r>
      <w:proofErr w:type="spellStart"/>
      <w:r w:rsidRPr="007F00C7">
        <w:rPr>
          <w:color w:val="000000"/>
        </w:rPr>
        <w:t>Png</w:t>
      </w:r>
      <w:proofErr w:type="spellEnd"/>
      <w:r w:rsidRPr="007F00C7">
        <w:rPr>
          <w:color w:val="000000"/>
        </w:rPr>
        <w:t xml:space="preserve">, G.K., </w:t>
      </w:r>
      <w:proofErr w:type="spellStart"/>
      <w:r w:rsidRPr="007F00C7">
        <w:rPr>
          <w:color w:val="000000"/>
        </w:rPr>
        <w:t>Neuhauser</w:t>
      </w:r>
      <w:proofErr w:type="spellEnd"/>
      <w:r w:rsidRPr="007F00C7">
        <w:rPr>
          <w:color w:val="000000"/>
        </w:rPr>
        <w:t xml:space="preserve">, S., </w:t>
      </w:r>
      <w:proofErr w:type="spellStart"/>
      <w:r w:rsidRPr="007F00C7">
        <w:rPr>
          <w:color w:val="000000"/>
        </w:rPr>
        <w:t>Berhe</w:t>
      </w:r>
      <w:proofErr w:type="spellEnd"/>
      <w:r w:rsidRPr="007F00C7">
        <w:rPr>
          <w:color w:val="000000"/>
        </w:rPr>
        <w:t xml:space="preserve">, A.A., Hart, S.C., Hu, H.-W., He, J.-Z., </w:t>
      </w:r>
      <w:proofErr w:type="spellStart"/>
      <w:r w:rsidRPr="007F00C7">
        <w:rPr>
          <w:color w:val="000000"/>
        </w:rPr>
        <w:t>Bastida</w:t>
      </w:r>
      <w:proofErr w:type="spellEnd"/>
      <w:r w:rsidRPr="007F00C7">
        <w:rPr>
          <w:color w:val="000000"/>
        </w:rPr>
        <w:t xml:space="preserve">, F., </w:t>
      </w:r>
      <w:proofErr w:type="spellStart"/>
      <w:r w:rsidRPr="007F00C7">
        <w:rPr>
          <w:color w:val="000000"/>
        </w:rPr>
        <w:t>Abades</w:t>
      </w:r>
      <w:proofErr w:type="spellEnd"/>
      <w:r w:rsidRPr="007F00C7">
        <w:rPr>
          <w:color w:val="000000"/>
        </w:rPr>
        <w:t xml:space="preserve">, S., Alfaro, F.D., Cutler, N.A., Gallardo, A., García-Velázquez, L., Hayes, P.E., </w:t>
      </w:r>
      <w:proofErr w:type="spellStart"/>
      <w:r w:rsidRPr="007F00C7">
        <w:rPr>
          <w:color w:val="000000"/>
        </w:rPr>
        <w:t>Hseu</w:t>
      </w:r>
      <w:proofErr w:type="spellEnd"/>
      <w:r w:rsidRPr="007F00C7">
        <w:rPr>
          <w:color w:val="000000"/>
        </w:rPr>
        <w:t xml:space="preserve">, Z.-Y., Pérez, C.A., Santos, F., </w:t>
      </w:r>
      <w:proofErr w:type="spellStart"/>
      <w:r w:rsidRPr="007F00C7">
        <w:rPr>
          <w:color w:val="000000"/>
        </w:rPr>
        <w:t>Siebe</w:t>
      </w:r>
      <w:proofErr w:type="spellEnd"/>
      <w:r w:rsidRPr="007F00C7">
        <w:rPr>
          <w:color w:val="000000"/>
        </w:rPr>
        <w:t>, C., Trivedi, P., Sullivan, B.W., Weber-</w:t>
      </w:r>
      <w:proofErr w:type="spellStart"/>
      <w:r w:rsidRPr="007F00C7">
        <w:rPr>
          <w:color w:val="000000"/>
        </w:rPr>
        <w:t>Grullon</w:t>
      </w:r>
      <w:proofErr w:type="spellEnd"/>
      <w:r w:rsidRPr="007F00C7">
        <w:rPr>
          <w:color w:val="000000"/>
        </w:rPr>
        <w:t xml:space="preserve">, L., Williams, M.A., </w:t>
      </w:r>
      <w:proofErr w:type="spellStart"/>
      <w:r w:rsidRPr="007F00C7">
        <w:rPr>
          <w:color w:val="000000"/>
        </w:rPr>
        <w:t>Fierer</w:t>
      </w:r>
      <w:proofErr w:type="spellEnd"/>
      <w:r w:rsidRPr="007F00C7">
        <w:rPr>
          <w:color w:val="000000"/>
        </w:rPr>
        <w:t xml:space="preserve">, N., 2020. The influence of soil age on ecosystem structure and function across biomes. Nat. </w:t>
      </w:r>
      <w:proofErr w:type="spellStart"/>
      <w:r w:rsidRPr="007F00C7">
        <w:rPr>
          <w:color w:val="000000"/>
        </w:rPr>
        <w:t>Commun</w:t>
      </w:r>
      <w:proofErr w:type="spellEnd"/>
      <w:r w:rsidRPr="007F00C7">
        <w:rPr>
          <w:color w:val="000000"/>
        </w:rPr>
        <w:t xml:space="preserve">. 11, 4721. </w:t>
      </w:r>
      <w:hyperlink r:id="rId41">
        <w:r w:rsidRPr="007F00C7">
          <w:rPr>
            <w:color w:val="4F81BD"/>
          </w:rPr>
          <w:t>https://doi.org/10.1038/s41467-020-18451-3</w:t>
        </w:r>
      </w:hyperlink>
    </w:p>
    <w:p w14:paraId="00000189" w14:textId="77777777" w:rsidR="001527B5" w:rsidRPr="007F00C7" w:rsidRDefault="00000000">
      <w:pPr>
        <w:pBdr>
          <w:top w:val="nil"/>
          <w:left w:val="nil"/>
          <w:bottom w:val="nil"/>
          <w:right w:val="nil"/>
          <w:between w:val="nil"/>
        </w:pBdr>
        <w:spacing w:before="180" w:after="0"/>
        <w:ind w:left="720" w:hanging="720"/>
        <w:rPr>
          <w:color w:val="000000"/>
        </w:rPr>
      </w:pPr>
      <w:bookmarkStart w:id="66" w:name="bookmark=id.43ky6rz" w:colFirst="0" w:colLast="0"/>
      <w:bookmarkEnd w:id="66"/>
      <w:proofErr w:type="spellStart"/>
      <w:r w:rsidRPr="007F00C7">
        <w:rPr>
          <w:color w:val="000000"/>
        </w:rPr>
        <w:t>Denissen</w:t>
      </w:r>
      <w:proofErr w:type="spellEnd"/>
      <w:r w:rsidRPr="007F00C7">
        <w:rPr>
          <w:color w:val="000000"/>
        </w:rPr>
        <w:t xml:space="preserve">, J.M.C., </w:t>
      </w:r>
      <w:proofErr w:type="spellStart"/>
      <w:r w:rsidRPr="007F00C7">
        <w:rPr>
          <w:color w:val="000000"/>
        </w:rPr>
        <w:t>Teuling</w:t>
      </w:r>
      <w:proofErr w:type="spellEnd"/>
      <w:r w:rsidRPr="007F00C7">
        <w:rPr>
          <w:color w:val="000000"/>
        </w:rPr>
        <w:t xml:space="preserve">, A.J., Pitman, A.J., Koirala, S., </w:t>
      </w:r>
      <w:proofErr w:type="spellStart"/>
      <w:r w:rsidRPr="007F00C7">
        <w:rPr>
          <w:color w:val="000000"/>
        </w:rPr>
        <w:t>Migliavacca</w:t>
      </w:r>
      <w:proofErr w:type="spellEnd"/>
      <w:r w:rsidRPr="007F00C7">
        <w:rPr>
          <w:color w:val="000000"/>
        </w:rPr>
        <w:t xml:space="preserve">, M., Li, W., Reichstein, M., Winkler, A.J., Zhan, C., Orth, R., 2022. Widespread shift from ecosystem energy to water limitation with climate change. Nat. </w:t>
      </w:r>
      <w:proofErr w:type="spellStart"/>
      <w:r w:rsidRPr="007F00C7">
        <w:rPr>
          <w:color w:val="000000"/>
        </w:rPr>
        <w:t>Clim</w:t>
      </w:r>
      <w:proofErr w:type="spellEnd"/>
      <w:r w:rsidRPr="007F00C7">
        <w:rPr>
          <w:color w:val="000000"/>
        </w:rPr>
        <w:t xml:space="preserve">. Chang. 12, 677–684. </w:t>
      </w:r>
      <w:hyperlink r:id="rId42">
        <w:r w:rsidRPr="007F00C7">
          <w:rPr>
            <w:color w:val="4F81BD"/>
          </w:rPr>
          <w:t>https://doi.org/10.1038/s41558-022-01403-8</w:t>
        </w:r>
      </w:hyperlink>
    </w:p>
    <w:p w14:paraId="0000018A" w14:textId="77777777" w:rsidR="001527B5" w:rsidRPr="007F00C7" w:rsidRDefault="00000000">
      <w:pPr>
        <w:pBdr>
          <w:top w:val="nil"/>
          <w:left w:val="nil"/>
          <w:bottom w:val="nil"/>
          <w:right w:val="nil"/>
          <w:between w:val="nil"/>
        </w:pBdr>
        <w:spacing w:before="180" w:after="0"/>
        <w:ind w:left="720" w:hanging="720"/>
        <w:rPr>
          <w:color w:val="000000"/>
        </w:rPr>
      </w:pPr>
      <w:bookmarkStart w:id="67" w:name="bookmark=id.2iq8gzs" w:colFirst="0" w:colLast="0"/>
      <w:bookmarkEnd w:id="67"/>
      <w:proofErr w:type="spellStart"/>
      <w:r w:rsidRPr="007F00C7">
        <w:rPr>
          <w:color w:val="000000"/>
        </w:rPr>
        <w:t>Dobrowski</w:t>
      </w:r>
      <w:proofErr w:type="spellEnd"/>
      <w:r w:rsidRPr="007F00C7">
        <w:rPr>
          <w:color w:val="000000"/>
        </w:rPr>
        <w:t xml:space="preserve">, S.Z., 2011. A climatic basis for microrefugia: The influence of terrain on climate. Glob. Change Biol. 17, 1022–1035. </w:t>
      </w:r>
      <w:hyperlink r:id="rId43">
        <w:r w:rsidRPr="007F00C7">
          <w:rPr>
            <w:color w:val="4F81BD"/>
          </w:rPr>
          <w:t>https://doi.org/10.1111/j.1365-2486.2010.02263.x</w:t>
        </w:r>
      </w:hyperlink>
    </w:p>
    <w:p w14:paraId="0000018B" w14:textId="77777777" w:rsidR="001527B5" w:rsidRPr="007F00C7" w:rsidRDefault="00000000">
      <w:pPr>
        <w:pBdr>
          <w:top w:val="nil"/>
          <w:left w:val="nil"/>
          <w:bottom w:val="nil"/>
          <w:right w:val="nil"/>
          <w:between w:val="nil"/>
        </w:pBdr>
        <w:spacing w:before="180" w:after="0"/>
        <w:ind w:left="720" w:hanging="720"/>
        <w:rPr>
          <w:color w:val="000000"/>
        </w:rPr>
      </w:pPr>
      <w:bookmarkStart w:id="68" w:name="bookmark=id.xvir7l" w:colFirst="0" w:colLast="0"/>
      <w:bookmarkEnd w:id="68"/>
      <w:proofErr w:type="spellStart"/>
      <w:r w:rsidRPr="007F00C7">
        <w:rPr>
          <w:color w:val="000000"/>
        </w:rPr>
        <w:t>Dudney</w:t>
      </w:r>
      <w:proofErr w:type="spellEnd"/>
      <w:r w:rsidRPr="007F00C7">
        <w:rPr>
          <w:color w:val="000000"/>
        </w:rPr>
        <w:t xml:space="preserve">, J., Latimer, A.M., Van </w:t>
      </w:r>
      <w:proofErr w:type="spellStart"/>
      <w:r w:rsidRPr="007F00C7">
        <w:rPr>
          <w:color w:val="000000"/>
        </w:rPr>
        <w:t>Mantgem</w:t>
      </w:r>
      <w:proofErr w:type="spellEnd"/>
      <w:r w:rsidRPr="007F00C7">
        <w:rPr>
          <w:color w:val="000000"/>
        </w:rPr>
        <w:t xml:space="preserve">, P., </w:t>
      </w:r>
      <w:proofErr w:type="spellStart"/>
      <w:r w:rsidRPr="007F00C7">
        <w:rPr>
          <w:color w:val="000000"/>
        </w:rPr>
        <w:t>Zald</w:t>
      </w:r>
      <w:proofErr w:type="spellEnd"/>
      <w:r w:rsidRPr="007F00C7">
        <w:rPr>
          <w:color w:val="000000"/>
        </w:rPr>
        <w:t xml:space="preserve">, H., Willing, C.E., Nesmith, J.C.B., Cribbs, J., Milano, E., 2023. The energy–water limitation threshold explains divergent drought responses in tree growth, needle length, and stable isotope ratios. Glob. Change Biol. 29, 4368–4382. </w:t>
      </w:r>
      <w:hyperlink r:id="rId44">
        <w:r w:rsidRPr="007F00C7">
          <w:rPr>
            <w:color w:val="4F81BD"/>
          </w:rPr>
          <w:t>https://doi.org/10.1111/gcb.16740</w:t>
        </w:r>
      </w:hyperlink>
    </w:p>
    <w:p w14:paraId="0000018C" w14:textId="77777777" w:rsidR="001527B5" w:rsidRPr="007F00C7" w:rsidRDefault="00000000">
      <w:pPr>
        <w:pBdr>
          <w:top w:val="nil"/>
          <w:left w:val="nil"/>
          <w:bottom w:val="nil"/>
          <w:right w:val="nil"/>
          <w:between w:val="nil"/>
        </w:pBdr>
        <w:spacing w:before="180" w:after="0"/>
        <w:ind w:left="720" w:hanging="720"/>
        <w:rPr>
          <w:color w:val="000000"/>
        </w:rPr>
      </w:pPr>
      <w:bookmarkStart w:id="69" w:name="bookmark=id.3hv69ve" w:colFirst="0" w:colLast="0"/>
      <w:bookmarkEnd w:id="69"/>
      <w:proofErr w:type="spellStart"/>
      <w:r w:rsidRPr="007F00C7">
        <w:rPr>
          <w:color w:val="000000"/>
        </w:rPr>
        <w:lastRenderedPageBreak/>
        <w:t>Elith</w:t>
      </w:r>
      <w:proofErr w:type="spellEnd"/>
      <w:r w:rsidRPr="007F00C7">
        <w:rPr>
          <w:color w:val="000000"/>
        </w:rPr>
        <w:t xml:space="preserve">, J., </w:t>
      </w:r>
      <w:proofErr w:type="spellStart"/>
      <w:r w:rsidRPr="007F00C7">
        <w:rPr>
          <w:color w:val="000000"/>
        </w:rPr>
        <w:t>Leathwick</w:t>
      </w:r>
      <w:proofErr w:type="spellEnd"/>
      <w:r w:rsidRPr="007F00C7">
        <w:rPr>
          <w:color w:val="000000"/>
        </w:rPr>
        <w:t xml:space="preserve">, J.R., Hastie, T., 2008. A working guide to boosted regression trees. J. Anim. Ecol. 77, 802–813. </w:t>
      </w:r>
      <w:hyperlink r:id="rId45">
        <w:r w:rsidRPr="007F00C7">
          <w:rPr>
            <w:color w:val="4F81BD"/>
          </w:rPr>
          <w:t>https://doi.org/10.1111/j.1365-2656.2008.01390.x</w:t>
        </w:r>
      </w:hyperlink>
    </w:p>
    <w:p w14:paraId="0000018D" w14:textId="77777777" w:rsidR="001527B5" w:rsidRPr="007F00C7" w:rsidRDefault="00000000">
      <w:pPr>
        <w:pBdr>
          <w:top w:val="nil"/>
          <w:left w:val="nil"/>
          <w:bottom w:val="nil"/>
          <w:right w:val="nil"/>
          <w:between w:val="nil"/>
        </w:pBdr>
        <w:spacing w:before="180" w:after="0"/>
        <w:ind w:left="720" w:hanging="720"/>
        <w:rPr>
          <w:color w:val="000000"/>
        </w:rPr>
      </w:pPr>
      <w:bookmarkStart w:id="70" w:name="bookmark=id.1x0gk37" w:colFirst="0" w:colLast="0"/>
      <w:bookmarkEnd w:id="70"/>
      <w:proofErr w:type="spellStart"/>
      <w:r w:rsidRPr="007F00C7">
        <w:rPr>
          <w:color w:val="000000"/>
        </w:rPr>
        <w:t>Eysn</w:t>
      </w:r>
      <w:proofErr w:type="spellEnd"/>
      <w:r w:rsidRPr="007F00C7">
        <w:rPr>
          <w:color w:val="000000"/>
        </w:rPr>
        <w:t xml:space="preserve">, L., </w:t>
      </w:r>
      <w:proofErr w:type="spellStart"/>
      <w:r w:rsidRPr="007F00C7">
        <w:rPr>
          <w:color w:val="000000"/>
        </w:rPr>
        <w:t>Hollaus</w:t>
      </w:r>
      <w:proofErr w:type="spellEnd"/>
      <w:r w:rsidRPr="007F00C7">
        <w:rPr>
          <w:color w:val="000000"/>
        </w:rPr>
        <w:t xml:space="preserve">, M., Lindberg, E., Berger, F., Monnet, J.-M., </w:t>
      </w:r>
      <w:proofErr w:type="spellStart"/>
      <w:r w:rsidRPr="007F00C7">
        <w:rPr>
          <w:color w:val="000000"/>
        </w:rPr>
        <w:t>Dalponte</w:t>
      </w:r>
      <w:proofErr w:type="spellEnd"/>
      <w:r w:rsidRPr="007F00C7">
        <w:rPr>
          <w:color w:val="000000"/>
        </w:rPr>
        <w:t xml:space="preserve">, M., </w:t>
      </w:r>
      <w:proofErr w:type="spellStart"/>
      <w:r w:rsidRPr="007F00C7">
        <w:rPr>
          <w:color w:val="000000"/>
        </w:rPr>
        <w:t>Kobal</w:t>
      </w:r>
      <w:proofErr w:type="spellEnd"/>
      <w:r w:rsidRPr="007F00C7">
        <w:rPr>
          <w:color w:val="000000"/>
        </w:rPr>
        <w:t xml:space="preserve">, M., Pellegrini, M., Lingua, E., </w:t>
      </w:r>
      <w:proofErr w:type="spellStart"/>
      <w:r w:rsidRPr="007F00C7">
        <w:rPr>
          <w:color w:val="000000"/>
        </w:rPr>
        <w:t>Mongus</w:t>
      </w:r>
      <w:proofErr w:type="spellEnd"/>
      <w:r w:rsidRPr="007F00C7">
        <w:rPr>
          <w:color w:val="000000"/>
        </w:rPr>
        <w:t xml:space="preserve">, D., Pfeifer, N., 2015. A benchmark of Lidar-based single tree detection methods using heterogeneous forest data from the alpine space. Forests 6, 1721–1747. </w:t>
      </w:r>
      <w:hyperlink r:id="rId46">
        <w:r w:rsidRPr="007F00C7">
          <w:rPr>
            <w:color w:val="4F81BD"/>
          </w:rPr>
          <w:t>https://doi.org/10.3390/f6051721</w:t>
        </w:r>
      </w:hyperlink>
    </w:p>
    <w:p w14:paraId="0000018E" w14:textId="77777777" w:rsidR="001527B5" w:rsidRPr="007F00C7" w:rsidRDefault="00000000">
      <w:pPr>
        <w:pBdr>
          <w:top w:val="nil"/>
          <w:left w:val="nil"/>
          <w:bottom w:val="nil"/>
          <w:right w:val="nil"/>
          <w:between w:val="nil"/>
        </w:pBdr>
        <w:spacing w:before="180" w:after="0"/>
        <w:ind w:left="720" w:hanging="720"/>
        <w:rPr>
          <w:color w:val="000000"/>
        </w:rPr>
      </w:pPr>
      <w:bookmarkStart w:id="71" w:name="bookmark=id.4h042r0" w:colFirst="0" w:colLast="0"/>
      <w:bookmarkEnd w:id="71"/>
      <w:r w:rsidRPr="007F00C7">
        <w:rPr>
          <w:color w:val="000000"/>
        </w:rPr>
        <w:t xml:space="preserve">Falco, N., M. Wainwright, H., Chadwick, K.D., </w:t>
      </w:r>
      <w:proofErr w:type="spellStart"/>
      <w:r w:rsidRPr="007F00C7">
        <w:rPr>
          <w:color w:val="000000"/>
        </w:rPr>
        <w:t>Dafflon</w:t>
      </w:r>
      <w:proofErr w:type="spellEnd"/>
      <w:r w:rsidRPr="007F00C7">
        <w:rPr>
          <w:color w:val="000000"/>
        </w:rPr>
        <w:t xml:space="preserve">, B., J. </w:t>
      </w:r>
      <w:proofErr w:type="spellStart"/>
      <w:r w:rsidRPr="007F00C7">
        <w:rPr>
          <w:color w:val="000000"/>
        </w:rPr>
        <w:t>Enquist</w:t>
      </w:r>
      <w:proofErr w:type="spellEnd"/>
      <w:r w:rsidRPr="007F00C7">
        <w:rPr>
          <w:color w:val="000000"/>
        </w:rPr>
        <w:t xml:space="preserve">, B., </w:t>
      </w:r>
      <w:proofErr w:type="spellStart"/>
      <w:r w:rsidRPr="007F00C7">
        <w:rPr>
          <w:color w:val="000000"/>
        </w:rPr>
        <w:t>Uhlemann</w:t>
      </w:r>
      <w:proofErr w:type="spellEnd"/>
      <w:r w:rsidRPr="007F00C7">
        <w:rPr>
          <w:color w:val="000000"/>
        </w:rPr>
        <w:t xml:space="preserve">, S., </w:t>
      </w:r>
      <w:proofErr w:type="spellStart"/>
      <w:r w:rsidRPr="007F00C7">
        <w:rPr>
          <w:color w:val="000000"/>
        </w:rPr>
        <w:t>Breckheimer</w:t>
      </w:r>
      <w:proofErr w:type="spellEnd"/>
      <w:r w:rsidRPr="007F00C7">
        <w:rPr>
          <w:color w:val="000000"/>
        </w:rPr>
        <w:t xml:space="preserve">, I., Lamb, J., Chen, J., </w:t>
      </w:r>
      <w:proofErr w:type="spellStart"/>
      <w:r w:rsidRPr="007F00C7">
        <w:rPr>
          <w:color w:val="000000"/>
        </w:rPr>
        <w:t>Tuvshintugs</w:t>
      </w:r>
      <w:proofErr w:type="spellEnd"/>
      <w:r w:rsidRPr="007F00C7">
        <w:rPr>
          <w:color w:val="000000"/>
        </w:rPr>
        <w:t xml:space="preserve">, O., </w:t>
      </w:r>
      <w:proofErr w:type="spellStart"/>
      <w:r w:rsidRPr="007F00C7">
        <w:rPr>
          <w:color w:val="000000"/>
        </w:rPr>
        <w:t>Balde</w:t>
      </w:r>
      <w:proofErr w:type="spellEnd"/>
      <w:r w:rsidRPr="007F00C7">
        <w:rPr>
          <w:color w:val="000000"/>
        </w:rPr>
        <w:t xml:space="preserve">, A., H. Williams, K., Brodie, E., 2024a. Vegetation classification map and covariates associated with NEON AOP survey, East River, CO 2018. </w:t>
      </w:r>
      <w:hyperlink r:id="rId47">
        <w:r w:rsidRPr="007F00C7">
          <w:rPr>
            <w:color w:val="4F81BD"/>
          </w:rPr>
          <w:t>https://doi.org/10.15485/1602034</w:t>
        </w:r>
      </w:hyperlink>
    </w:p>
    <w:p w14:paraId="0000018F" w14:textId="77777777" w:rsidR="001527B5" w:rsidRPr="007F00C7" w:rsidRDefault="00000000">
      <w:pPr>
        <w:pBdr>
          <w:top w:val="nil"/>
          <w:left w:val="nil"/>
          <w:bottom w:val="nil"/>
          <w:right w:val="nil"/>
          <w:between w:val="nil"/>
        </w:pBdr>
        <w:spacing w:before="180" w:after="0"/>
        <w:ind w:left="720" w:hanging="720"/>
        <w:rPr>
          <w:color w:val="000000"/>
        </w:rPr>
      </w:pPr>
      <w:bookmarkStart w:id="72" w:name="bookmark=id.2w5ecyt" w:colFirst="0" w:colLast="0"/>
      <w:bookmarkEnd w:id="72"/>
      <w:r w:rsidRPr="007F00C7">
        <w:rPr>
          <w:color w:val="000000"/>
        </w:rPr>
        <w:t xml:space="preserve">Falco, N., Wainwright, H., Chadwick, K.D., </w:t>
      </w:r>
      <w:proofErr w:type="spellStart"/>
      <w:r w:rsidRPr="007F00C7">
        <w:rPr>
          <w:color w:val="000000"/>
        </w:rPr>
        <w:t>Dafflon</w:t>
      </w:r>
      <w:proofErr w:type="spellEnd"/>
      <w:r w:rsidRPr="007F00C7">
        <w:rPr>
          <w:color w:val="000000"/>
        </w:rPr>
        <w:t xml:space="preserve">, B., </w:t>
      </w:r>
      <w:proofErr w:type="spellStart"/>
      <w:r w:rsidRPr="007F00C7">
        <w:rPr>
          <w:color w:val="000000"/>
        </w:rPr>
        <w:t>Enquist</w:t>
      </w:r>
      <w:proofErr w:type="spellEnd"/>
      <w:r w:rsidRPr="007F00C7">
        <w:rPr>
          <w:color w:val="000000"/>
        </w:rPr>
        <w:t xml:space="preserve">, B.J., </w:t>
      </w:r>
      <w:proofErr w:type="spellStart"/>
      <w:r w:rsidRPr="007F00C7">
        <w:rPr>
          <w:color w:val="000000"/>
        </w:rPr>
        <w:t>Uhlemann</w:t>
      </w:r>
      <w:proofErr w:type="spellEnd"/>
      <w:r w:rsidRPr="007F00C7">
        <w:rPr>
          <w:color w:val="000000"/>
        </w:rPr>
        <w:t xml:space="preserve">, S., </w:t>
      </w:r>
      <w:proofErr w:type="spellStart"/>
      <w:r w:rsidRPr="007F00C7">
        <w:rPr>
          <w:color w:val="000000"/>
        </w:rPr>
        <w:t>Breckheimer</w:t>
      </w:r>
      <w:proofErr w:type="spellEnd"/>
      <w:r w:rsidRPr="007F00C7">
        <w:rPr>
          <w:color w:val="000000"/>
        </w:rPr>
        <w:t xml:space="preserve">, I, Lamb, J., Chen, J., </w:t>
      </w:r>
      <w:proofErr w:type="spellStart"/>
      <w:r w:rsidRPr="007F00C7">
        <w:rPr>
          <w:color w:val="000000"/>
        </w:rPr>
        <w:t>Tuvshintugs</w:t>
      </w:r>
      <w:proofErr w:type="spellEnd"/>
      <w:r w:rsidRPr="007F00C7">
        <w:rPr>
          <w:color w:val="000000"/>
        </w:rPr>
        <w:t xml:space="preserve">, O., </w:t>
      </w:r>
      <w:proofErr w:type="spellStart"/>
      <w:r w:rsidRPr="007F00C7">
        <w:rPr>
          <w:color w:val="000000"/>
        </w:rPr>
        <w:t>Balde</w:t>
      </w:r>
      <w:proofErr w:type="spellEnd"/>
      <w:r w:rsidRPr="007F00C7">
        <w:rPr>
          <w:color w:val="000000"/>
        </w:rPr>
        <w:t xml:space="preserve">, A., Williams, K., Brodie, E., 2024b. </w:t>
      </w:r>
      <w:proofErr w:type="spellStart"/>
      <w:r w:rsidRPr="007F00C7">
        <w:rPr>
          <w:color w:val="000000"/>
        </w:rPr>
        <w:t>Ecoimaging</w:t>
      </w:r>
      <w:proofErr w:type="spellEnd"/>
      <w:r w:rsidRPr="007F00C7">
        <w:rPr>
          <w:color w:val="000000"/>
        </w:rPr>
        <w:t xml:space="preserve">: Advanced sensing to investigate plant and abiotic hierarchical spatial patterns in mountainous watersheds. Preprint. </w:t>
      </w:r>
      <w:hyperlink r:id="rId48">
        <w:r w:rsidRPr="007F00C7">
          <w:rPr>
            <w:color w:val="4F81BD"/>
          </w:rPr>
          <w:t>https://doi.org/10.2139/ssrn.4779350</w:t>
        </w:r>
      </w:hyperlink>
    </w:p>
    <w:p w14:paraId="00000190" w14:textId="77777777" w:rsidR="001527B5" w:rsidRPr="007F00C7" w:rsidRDefault="00000000">
      <w:pPr>
        <w:pBdr>
          <w:top w:val="nil"/>
          <w:left w:val="nil"/>
          <w:bottom w:val="nil"/>
          <w:right w:val="nil"/>
          <w:between w:val="nil"/>
        </w:pBdr>
        <w:spacing w:before="180" w:after="0"/>
        <w:ind w:left="720" w:hanging="720"/>
        <w:rPr>
          <w:color w:val="000000"/>
        </w:rPr>
      </w:pPr>
      <w:bookmarkStart w:id="73" w:name="bookmark=id.1baon6m" w:colFirst="0" w:colLast="0"/>
      <w:bookmarkEnd w:id="73"/>
      <w:proofErr w:type="spellStart"/>
      <w:r w:rsidRPr="007F00C7">
        <w:rPr>
          <w:color w:val="000000"/>
        </w:rPr>
        <w:t>Faybishenko</w:t>
      </w:r>
      <w:proofErr w:type="spellEnd"/>
      <w:r w:rsidRPr="007F00C7">
        <w:rPr>
          <w:color w:val="000000"/>
        </w:rPr>
        <w:t xml:space="preserve">, B., Arora, B., Dwivedi, D., Brodie, E., 2023. Statistical framework to assess long-term </w:t>
      </w:r>
      <w:proofErr w:type="spellStart"/>
      <w:r w:rsidRPr="007F00C7">
        <w:rPr>
          <w:color w:val="000000"/>
        </w:rPr>
        <w:t>spatio</w:t>
      </w:r>
      <w:proofErr w:type="spellEnd"/>
      <w:r w:rsidRPr="007F00C7">
        <w:rPr>
          <w:color w:val="000000"/>
        </w:rPr>
        <w:t xml:space="preserve">-temporal climate changes: East River mountainous watershed case study. Stoch. Environ. Res. Risk Assess. 37, 1303–1319. </w:t>
      </w:r>
      <w:hyperlink r:id="rId49">
        <w:r w:rsidRPr="007F00C7">
          <w:rPr>
            <w:color w:val="4F81BD"/>
          </w:rPr>
          <w:t>https://doi.org/10.1007/s00477-022-02327-7</w:t>
        </w:r>
      </w:hyperlink>
    </w:p>
    <w:p w14:paraId="00000191" w14:textId="77777777" w:rsidR="001527B5" w:rsidRPr="007F00C7" w:rsidRDefault="00000000">
      <w:pPr>
        <w:pBdr>
          <w:top w:val="nil"/>
          <w:left w:val="nil"/>
          <w:bottom w:val="nil"/>
          <w:right w:val="nil"/>
          <w:between w:val="nil"/>
        </w:pBdr>
        <w:spacing w:before="180" w:after="0"/>
        <w:ind w:left="720" w:hanging="720"/>
        <w:rPr>
          <w:color w:val="000000"/>
        </w:rPr>
      </w:pPr>
      <w:bookmarkStart w:id="74" w:name="bookmark=id.3vac5uf" w:colFirst="0" w:colLast="0"/>
      <w:bookmarkEnd w:id="74"/>
      <w:r w:rsidRPr="007F00C7">
        <w:rPr>
          <w:color w:val="000000"/>
        </w:rPr>
        <w:t xml:space="preserve">Flint, L.E., Flint, A.L., Thorne, J.H., Boynton, R., 2013. Fine-scale hydrologic modeling for regional landscape applications: The California Basin Characterization Model development and performance. Ecol. Process. 2, 25. </w:t>
      </w:r>
      <w:hyperlink r:id="rId50">
        <w:r w:rsidRPr="007F00C7">
          <w:rPr>
            <w:color w:val="4F81BD"/>
          </w:rPr>
          <w:t>https://doi.org/10.1186/2192-1709-2-25</w:t>
        </w:r>
      </w:hyperlink>
    </w:p>
    <w:p w14:paraId="00000192" w14:textId="77777777" w:rsidR="001527B5" w:rsidRPr="007F00C7" w:rsidRDefault="00000000">
      <w:pPr>
        <w:pBdr>
          <w:top w:val="nil"/>
          <w:left w:val="nil"/>
          <w:bottom w:val="nil"/>
          <w:right w:val="nil"/>
          <w:between w:val="nil"/>
        </w:pBdr>
        <w:spacing w:before="180" w:after="0"/>
        <w:ind w:left="720" w:hanging="720"/>
        <w:rPr>
          <w:color w:val="000000"/>
        </w:rPr>
      </w:pPr>
      <w:bookmarkStart w:id="75" w:name="bookmark=id.2afmg28" w:colFirst="0" w:colLast="0"/>
      <w:bookmarkEnd w:id="75"/>
      <w:r w:rsidRPr="007F00C7">
        <w:rPr>
          <w:color w:val="000000"/>
        </w:rPr>
        <w:t xml:space="preserve">Foster, L.M., Williams, K.H., Maxwell, R.M., 2020. Resolution matters when modeling climate change in headwaters of the Colorado River. Environ. Res. Lett. 15, 104031. </w:t>
      </w:r>
      <w:hyperlink r:id="rId51">
        <w:r w:rsidRPr="007F00C7">
          <w:rPr>
            <w:color w:val="4F81BD"/>
          </w:rPr>
          <w:t>https://doi.org/10.1088/1748-9326/aba77f</w:t>
        </w:r>
      </w:hyperlink>
    </w:p>
    <w:p w14:paraId="00000193" w14:textId="77777777" w:rsidR="001527B5" w:rsidRPr="007F00C7" w:rsidRDefault="00000000">
      <w:pPr>
        <w:pBdr>
          <w:top w:val="nil"/>
          <w:left w:val="nil"/>
          <w:bottom w:val="nil"/>
          <w:right w:val="nil"/>
          <w:between w:val="nil"/>
        </w:pBdr>
        <w:spacing w:before="180" w:after="0"/>
        <w:ind w:left="720" w:hanging="720"/>
        <w:rPr>
          <w:color w:val="000000"/>
        </w:rPr>
      </w:pPr>
      <w:bookmarkStart w:id="76" w:name="bookmark=id.pkwqa1" w:colFirst="0" w:colLast="0"/>
      <w:bookmarkEnd w:id="76"/>
      <w:r w:rsidRPr="007F00C7">
        <w:rPr>
          <w:color w:val="000000"/>
        </w:rPr>
        <w:t xml:space="preserve">Fricker, G.A., </w:t>
      </w:r>
      <w:proofErr w:type="spellStart"/>
      <w:r w:rsidRPr="007F00C7">
        <w:rPr>
          <w:color w:val="000000"/>
        </w:rPr>
        <w:t>Synes</w:t>
      </w:r>
      <w:proofErr w:type="spellEnd"/>
      <w:r w:rsidRPr="007F00C7">
        <w:rPr>
          <w:color w:val="000000"/>
        </w:rPr>
        <w:t xml:space="preserve">, N.W., Serra-Diaz, J.M., North, M.P., Davis, F.W., Franklin, J., 2019. More than climate? Predictors of tree canopy height vary with scale in complex terrain, Sierra Nevada, CA (USA). For. Ecol. </w:t>
      </w:r>
      <w:proofErr w:type="spellStart"/>
      <w:r w:rsidRPr="007F00C7">
        <w:rPr>
          <w:color w:val="000000"/>
        </w:rPr>
        <w:t>Manag</w:t>
      </w:r>
      <w:proofErr w:type="spellEnd"/>
      <w:r w:rsidRPr="007F00C7">
        <w:rPr>
          <w:color w:val="000000"/>
        </w:rPr>
        <w:t xml:space="preserve">. 434, 142–153. </w:t>
      </w:r>
      <w:hyperlink r:id="rId52">
        <w:r w:rsidRPr="007F00C7">
          <w:rPr>
            <w:color w:val="4F81BD"/>
          </w:rPr>
          <w:t>https://doi.org/10.1016/j.foreco.2018.12.006</w:t>
        </w:r>
      </w:hyperlink>
    </w:p>
    <w:p w14:paraId="00000194" w14:textId="77777777" w:rsidR="001527B5" w:rsidRPr="007F00C7" w:rsidRDefault="00000000">
      <w:pPr>
        <w:pBdr>
          <w:top w:val="nil"/>
          <w:left w:val="nil"/>
          <w:bottom w:val="nil"/>
          <w:right w:val="nil"/>
          <w:between w:val="nil"/>
        </w:pBdr>
        <w:spacing w:before="180" w:after="0"/>
        <w:ind w:left="720" w:hanging="720"/>
        <w:rPr>
          <w:color w:val="000000"/>
        </w:rPr>
      </w:pPr>
      <w:bookmarkStart w:id="77" w:name="bookmark=id.39kk8xu" w:colFirst="0" w:colLast="0"/>
      <w:bookmarkEnd w:id="77"/>
      <w:r w:rsidRPr="007F00C7">
        <w:rPr>
          <w:color w:val="000000"/>
        </w:rPr>
        <w:t xml:space="preserve">Friedman, J.H., </w:t>
      </w:r>
      <w:proofErr w:type="spellStart"/>
      <w:r w:rsidRPr="007F00C7">
        <w:rPr>
          <w:color w:val="000000"/>
        </w:rPr>
        <w:t>Meulman</w:t>
      </w:r>
      <w:proofErr w:type="spellEnd"/>
      <w:r w:rsidRPr="007F00C7">
        <w:rPr>
          <w:color w:val="000000"/>
        </w:rPr>
        <w:t xml:space="preserve">, J.J., 2003. Multiple additive regression trees with application in epidemiology. Stat. Med. 22, 1365–1381. </w:t>
      </w:r>
      <w:hyperlink r:id="rId53">
        <w:r w:rsidRPr="007F00C7">
          <w:rPr>
            <w:color w:val="4F81BD"/>
          </w:rPr>
          <w:t>https://doi.org/10.1002/sim.1501</w:t>
        </w:r>
      </w:hyperlink>
    </w:p>
    <w:p w14:paraId="74D4173A" w14:textId="00B5DB5A" w:rsidR="00C26FC7" w:rsidRPr="007F00C7" w:rsidRDefault="00C26FC7">
      <w:pPr>
        <w:pBdr>
          <w:top w:val="nil"/>
          <w:left w:val="nil"/>
          <w:bottom w:val="nil"/>
          <w:right w:val="nil"/>
          <w:between w:val="nil"/>
        </w:pBdr>
        <w:spacing w:before="180" w:after="0"/>
        <w:ind w:left="720" w:hanging="720"/>
        <w:rPr>
          <w:color w:val="4F81BD"/>
        </w:rPr>
      </w:pPr>
      <w:bookmarkStart w:id="78" w:name="bookmark=id.48pi1tg" w:colFirst="0" w:colLast="0"/>
      <w:bookmarkEnd w:id="78"/>
      <w:r w:rsidRPr="007F00C7">
        <w:rPr>
          <w:color w:val="000000"/>
        </w:rPr>
        <w:t xml:space="preserve">Goodwin, M.J., </w:t>
      </w:r>
      <w:proofErr w:type="spellStart"/>
      <w:r w:rsidRPr="007F00C7">
        <w:rPr>
          <w:color w:val="000000"/>
        </w:rPr>
        <w:t>Kerhoulas</w:t>
      </w:r>
      <w:proofErr w:type="spellEnd"/>
      <w:r w:rsidRPr="007F00C7">
        <w:rPr>
          <w:color w:val="000000"/>
        </w:rPr>
        <w:t xml:space="preserve">, L.P., </w:t>
      </w:r>
      <w:proofErr w:type="spellStart"/>
      <w:r w:rsidRPr="007F00C7">
        <w:rPr>
          <w:color w:val="000000"/>
        </w:rPr>
        <w:t>Zald</w:t>
      </w:r>
      <w:proofErr w:type="spellEnd"/>
      <w:r w:rsidRPr="007F00C7">
        <w:rPr>
          <w:color w:val="000000"/>
        </w:rPr>
        <w:t xml:space="preserve">, H.S., North, M.P., </w:t>
      </w:r>
      <w:proofErr w:type="spellStart"/>
      <w:r w:rsidRPr="007F00C7">
        <w:rPr>
          <w:color w:val="000000"/>
        </w:rPr>
        <w:t>Hurteau</w:t>
      </w:r>
      <w:proofErr w:type="spellEnd"/>
      <w:r w:rsidRPr="007F00C7">
        <w:rPr>
          <w:color w:val="000000"/>
        </w:rPr>
        <w:t xml:space="preserve">, M.D., 2023. Conifer water-use patterns across temporal and topographic gradients in the southern Sierra Nevada. Tree Phys. 43, 210–220. </w:t>
      </w:r>
      <w:r w:rsidRPr="007F00C7">
        <w:rPr>
          <w:color w:val="4F81BD"/>
        </w:rPr>
        <w:t>https://doi.org/10.1093/treephys/tpac124</w:t>
      </w:r>
    </w:p>
    <w:p w14:paraId="00000195" w14:textId="0A4E31AB" w:rsidR="001527B5" w:rsidRPr="007F00C7" w:rsidRDefault="00000000">
      <w:pPr>
        <w:pBdr>
          <w:top w:val="nil"/>
          <w:left w:val="nil"/>
          <w:bottom w:val="nil"/>
          <w:right w:val="nil"/>
          <w:between w:val="nil"/>
        </w:pBdr>
        <w:spacing w:before="180" w:after="0"/>
        <w:ind w:left="720" w:hanging="720"/>
        <w:rPr>
          <w:color w:val="000000"/>
        </w:rPr>
      </w:pPr>
      <w:proofErr w:type="spellStart"/>
      <w:r w:rsidRPr="007F00C7">
        <w:rPr>
          <w:color w:val="000000"/>
        </w:rPr>
        <w:t>Goulden</w:t>
      </w:r>
      <w:proofErr w:type="spellEnd"/>
      <w:r w:rsidRPr="007F00C7">
        <w:rPr>
          <w:color w:val="000000"/>
        </w:rPr>
        <w:t xml:space="preserve">, T., Hass, B., Brodie, E., Chadwick, K.D., Falco, N., Maher, K., Wainwright, H., Williams, K., 2020. NEON AOP survey of upper east river CO watersheds: LAZ files, LiDAR surface elevation, terrain elevation, and canopy height </w:t>
      </w:r>
      <w:proofErr w:type="spellStart"/>
      <w:r w:rsidRPr="007F00C7">
        <w:rPr>
          <w:color w:val="000000"/>
        </w:rPr>
        <w:t>rasters</w:t>
      </w:r>
      <w:proofErr w:type="spellEnd"/>
      <w:r w:rsidRPr="007F00C7">
        <w:rPr>
          <w:color w:val="000000"/>
        </w:rPr>
        <w:t xml:space="preserve"> [dataset</w:t>
      </w:r>
      <w:r w:rsidRPr="007F00C7">
        <w:t>]</w:t>
      </w:r>
      <w:r w:rsidRPr="007F00C7">
        <w:rPr>
          <w:color w:val="000000"/>
        </w:rPr>
        <w:t xml:space="preserve">. ESS-DIVE repository. </w:t>
      </w:r>
      <w:hyperlink r:id="rId54">
        <w:r w:rsidRPr="007F00C7">
          <w:rPr>
            <w:color w:val="4F81BD"/>
          </w:rPr>
          <w:t>https://doi.org/10.15485/1617203</w:t>
        </w:r>
      </w:hyperlink>
    </w:p>
    <w:p w14:paraId="00000196" w14:textId="77777777" w:rsidR="001527B5" w:rsidRPr="007F00C7" w:rsidRDefault="00000000">
      <w:pPr>
        <w:pBdr>
          <w:top w:val="nil"/>
          <w:left w:val="nil"/>
          <w:bottom w:val="nil"/>
          <w:right w:val="nil"/>
          <w:between w:val="nil"/>
        </w:pBdr>
        <w:spacing w:before="180" w:after="0"/>
        <w:ind w:left="720" w:hanging="720"/>
        <w:rPr>
          <w:color w:val="000000"/>
        </w:rPr>
      </w:pPr>
      <w:bookmarkStart w:id="79" w:name="bookmark=id.2nusc19" w:colFirst="0" w:colLast="0"/>
      <w:bookmarkEnd w:id="79"/>
      <w:proofErr w:type="spellStart"/>
      <w:r w:rsidRPr="007F00C7">
        <w:rPr>
          <w:color w:val="000000"/>
        </w:rPr>
        <w:lastRenderedPageBreak/>
        <w:t>Goulden</w:t>
      </w:r>
      <w:proofErr w:type="spellEnd"/>
      <w:r w:rsidRPr="007F00C7">
        <w:rPr>
          <w:color w:val="000000"/>
        </w:rPr>
        <w:t xml:space="preserve">, T., </w:t>
      </w:r>
      <w:proofErr w:type="spellStart"/>
      <w:r w:rsidRPr="007F00C7">
        <w:rPr>
          <w:color w:val="000000"/>
        </w:rPr>
        <w:t>Musinsky</w:t>
      </w:r>
      <w:proofErr w:type="spellEnd"/>
      <w:r w:rsidRPr="007F00C7">
        <w:rPr>
          <w:color w:val="000000"/>
        </w:rPr>
        <w:t xml:space="preserve">, J., 2020. Post survey report for AOP Assignable Asset collection of Crested Butte, CO [dataset]. ESS-DIVE repository. </w:t>
      </w:r>
      <w:hyperlink r:id="rId55">
        <w:r w:rsidRPr="007F00C7">
          <w:rPr>
            <w:color w:val="4F81BD"/>
          </w:rPr>
          <w:t>https://doi.org/10.15485/1617202</w:t>
        </w:r>
      </w:hyperlink>
    </w:p>
    <w:p w14:paraId="00000197" w14:textId="77777777" w:rsidR="001527B5" w:rsidRPr="007F00C7" w:rsidRDefault="00000000">
      <w:pPr>
        <w:pBdr>
          <w:top w:val="nil"/>
          <w:left w:val="nil"/>
          <w:bottom w:val="nil"/>
          <w:right w:val="nil"/>
          <w:between w:val="nil"/>
        </w:pBdr>
        <w:spacing w:before="180" w:after="0"/>
        <w:ind w:left="720" w:hanging="720"/>
        <w:rPr>
          <w:color w:val="000000"/>
        </w:rPr>
      </w:pPr>
      <w:bookmarkStart w:id="80" w:name="bookmark=id.1302m92" w:colFirst="0" w:colLast="0"/>
      <w:bookmarkEnd w:id="80"/>
      <w:r w:rsidRPr="007F00C7">
        <w:rPr>
          <w:color w:val="000000"/>
        </w:rPr>
        <w:t xml:space="preserve">Greenberg, J.A., </w:t>
      </w:r>
      <w:proofErr w:type="spellStart"/>
      <w:r w:rsidRPr="007F00C7">
        <w:rPr>
          <w:color w:val="000000"/>
        </w:rPr>
        <w:t>Dobrowski</w:t>
      </w:r>
      <w:proofErr w:type="spellEnd"/>
      <w:r w:rsidRPr="007F00C7">
        <w:rPr>
          <w:color w:val="000000"/>
        </w:rPr>
        <w:t xml:space="preserve">, S.Z., Vanderbilt, V.C., 2009. Limitations on maximum tree density using hyperspatial remote sensing and environmental gradient analysis. Remote Sens. Environ. 113, 94–101. </w:t>
      </w:r>
      <w:hyperlink r:id="rId56">
        <w:r w:rsidRPr="007F00C7">
          <w:rPr>
            <w:color w:val="4F81BD"/>
          </w:rPr>
          <w:t>https://doi.org/10.1016/j.rse.2008.08.014</w:t>
        </w:r>
      </w:hyperlink>
    </w:p>
    <w:p w14:paraId="00000198" w14:textId="77777777" w:rsidR="001527B5" w:rsidRPr="007F00C7" w:rsidRDefault="00000000">
      <w:pPr>
        <w:pBdr>
          <w:top w:val="nil"/>
          <w:left w:val="nil"/>
          <w:bottom w:val="nil"/>
          <w:right w:val="nil"/>
          <w:between w:val="nil"/>
        </w:pBdr>
        <w:spacing w:before="180" w:after="0"/>
        <w:ind w:left="720" w:hanging="720"/>
        <w:rPr>
          <w:color w:val="000000"/>
        </w:rPr>
      </w:pPr>
      <w:bookmarkStart w:id="81" w:name="bookmark=id.3mzq4wv" w:colFirst="0" w:colLast="0"/>
      <w:bookmarkEnd w:id="81"/>
      <w:proofErr w:type="spellStart"/>
      <w:r w:rsidRPr="007F00C7">
        <w:rPr>
          <w:color w:val="000000"/>
        </w:rPr>
        <w:t>Hankin</w:t>
      </w:r>
      <w:proofErr w:type="spellEnd"/>
      <w:r w:rsidRPr="007F00C7">
        <w:rPr>
          <w:color w:val="000000"/>
        </w:rPr>
        <w:t>, L.E., Barrios-</w:t>
      </w:r>
      <w:proofErr w:type="spellStart"/>
      <w:r w:rsidRPr="007F00C7">
        <w:rPr>
          <w:color w:val="000000"/>
        </w:rPr>
        <w:t>Masias</w:t>
      </w:r>
      <w:proofErr w:type="spellEnd"/>
      <w:r w:rsidRPr="007F00C7">
        <w:rPr>
          <w:color w:val="000000"/>
        </w:rPr>
        <w:t xml:space="preserve">, F.H., </w:t>
      </w:r>
      <w:proofErr w:type="spellStart"/>
      <w:r w:rsidRPr="007F00C7">
        <w:rPr>
          <w:color w:val="000000"/>
        </w:rPr>
        <w:t>Urza</w:t>
      </w:r>
      <w:proofErr w:type="spellEnd"/>
      <w:r w:rsidRPr="007F00C7">
        <w:rPr>
          <w:color w:val="000000"/>
        </w:rPr>
        <w:t xml:space="preserve">, A.K., </w:t>
      </w:r>
      <w:proofErr w:type="spellStart"/>
      <w:r w:rsidRPr="007F00C7">
        <w:rPr>
          <w:color w:val="000000"/>
        </w:rPr>
        <w:t>Bisbing</w:t>
      </w:r>
      <w:proofErr w:type="spellEnd"/>
      <w:r w:rsidRPr="007F00C7">
        <w:rPr>
          <w:color w:val="000000"/>
        </w:rPr>
        <w:t xml:space="preserve">, S.M., 2024. Lethal combination for seedlings: Extreme heat drives mortality of drought-exposed high-elevation pine seedlings. Ann. Bot. </w:t>
      </w:r>
      <w:hyperlink r:id="rId57">
        <w:r w:rsidRPr="007F00C7">
          <w:rPr>
            <w:color w:val="4F81BD"/>
          </w:rPr>
          <w:t>https://doi.org/10.1093/aob/mcae064</w:t>
        </w:r>
      </w:hyperlink>
    </w:p>
    <w:p w14:paraId="00000199" w14:textId="77777777" w:rsidR="001527B5" w:rsidRPr="007F00C7" w:rsidRDefault="00000000">
      <w:pPr>
        <w:pBdr>
          <w:top w:val="nil"/>
          <w:left w:val="nil"/>
          <w:bottom w:val="nil"/>
          <w:right w:val="nil"/>
          <w:between w:val="nil"/>
        </w:pBdr>
        <w:spacing w:before="180" w:after="0"/>
        <w:ind w:left="720" w:hanging="720"/>
        <w:rPr>
          <w:color w:val="000000"/>
        </w:rPr>
      </w:pPr>
      <w:bookmarkStart w:id="82" w:name="bookmark=id.2250f4o" w:colFirst="0" w:colLast="0"/>
      <w:bookmarkEnd w:id="82"/>
      <w:r w:rsidRPr="007F00C7">
        <w:rPr>
          <w:color w:val="000000"/>
        </w:rPr>
        <w:t xml:space="preserve">Hawkins, B.A., Field, R., Cornell, H.V., Currie, D.J., </w:t>
      </w:r>
      <w:proofErr w:type="spellStart"/>
      <w:r w:rsidRPr="007F00C7">
        <w:rPr>
          <w:color w:val="000000"/>
        </w:rPr>
        <w:t>Guégan</w:t>
      </w:r>
      <w:proofErr w:type="spellEnd"/>
      <w:r w:rsidRPr="007F00C7">
        <w:rPr>
          <w:color w:val="000000"/>
        </w:rPr>
        <w:t xml:space="preserve">, J.-F., Kaufman, D.M., Kerr, J.T., </w:t>
      </w:r>
      <w:proofErr w:type="spellStart"/>
      <w:r w:rsidRPr="007F00C7">
        <w:rPr>
          <w:color w:val="000000"/>
        </w:rPr>
        <w:t>Mittelbach</w:t>
      </w:r>
      <w:proofErr w:type="spellEnd"/>
      <w:r w:rsidRPr="007F00C7">
        <w:rPr>
          <w:color w:val="000000"/>
        </w:rPr>
        <w:t xml:space="preserve">, G.G., </w:t>
      </w:r>
      <w:proofErr w:type="spellStart"/>
      <w:r w:rsidRPr="007F00C7">
        <w:rPr>
          <w:color w:val="000000"/>
        </w:rPr>
        <w:t>Oberdorff</w:t>
      </w:r>
      <w:proofErr w:type="spellEnd"/>
      <w:r w:rsidRPr="007F00C7">
        <w:rPr>
          <w:color w:val="000000"/>
        </w:rPr>
        <w:t xml:space="preserve">, T., O’Brien, E.M., Porter, E.E., Turner, J.R.G., 2003. Energy, water, and broad-scale geographic patterns of species richness. Ecology 84, 3105–3117. </w:t>
      </w:r>
      <w:hyperlink r:id="rId58">
        <w:r w:rsidRPr="007F00C7">
          <w:rPr>
            <w:color w:val="4F81BD"/>
          </w:rPr>
          <w:t>https://doi.org/10.1890/03-8006</w:t>
        </w:r>
      </w:hyperlink>
    </w:p>
    <w:p w14:paraId="0000019A" w14:textId="77777777" w:rsidR="001527B5" w:rsidRPr="007F00C7" w:rsidRDefault="00000000">
      <w:pPr>
        <w:pBdr>
          <w:top w:val="nil"/>
          <w:left w:val="nil"/>
          <w:bottom w:val="nil"/>
          <w:right w:val="nil"/>
          <w:between w:val="nil"/>
        </w:pBdr>
        <w:spacing w:before="180" w:after="0"/>
        <w:ind w:left="720" w:hanging="720"/>
        <w:rPr>
          <w:color w:val="000000"/>
        </w:rPr>
      </w:pPr>
      <w:bookmarkStart w:id="83" w:name="bookmark=id.haapch" w:colFirst="0" w:colLast="0"/>
      <w:bookmarkEnd w:id="83"/>
      <w:proofErr w:type="spellStart"/>
      <w:r w:rsidRPr="007F00C7">
        <w:rPr>
          <w:color w:val="000000"/>
        </w:rPr>
        <w:t>Hiemstra</w:t>
      </w:r>
      <w:proofErr w:type="spellEnd"/>
      <w:r w:rsidRPr="007F00C7">
        <w:rPr>
          <w:color w:val="000000"/>
        </w:rPr>
        <w:t xml:space="preserve">, C.A., Liston, G.E., </w:t>
      </w:r>
      <w:proofErr w:type="spellStart"/>
      <w:r w:rsidRPr="007F00C7">
        <w:rPr>
          <w:color w:val="000000"/>
        </w:rPr>
        <w:t>Reiners</w:t>
      </w:r>
      <w:proofErr w:type="spellEnd"/>
      <w:r w:rsidRPr="007F00C7">
        <w:rPr>
          <w:color w:val="000000"/>
        </w:rPr>
        <w:t xml:space="preserve">, W.A., 2006. Observing, modelling, and validating snow redistribution by wind in a Wyoming upper </w:t>
      </w:r>
      <w:proofErr w:type="spellStart"/>
      <w:r w:rsidRPr="007F00C7">
        <w:rPr>
          <w:color w:val="000000"/>
        </w:rPr>
        <w:t>treeline</w:t>
      </w:r>
      <w:proofErr w:type="spellEnd"/>
      <w:r w:rsidRPr="007F00C7">
        <w:rPr>
          <w:color w:val="000000"/>
        </w:rPr>
        <w:t xml:space="preserve"> landscape. Ecol. Modell. 197, 35–51. </w:t>
      </w:r>
      <w:hyperlink r:id="rId59">
        <w:r w:rsidRPr="007F00C7">
          <w:rPr>
            <w:color w:val="4F81BD"/>
          </w:rPr>
          <w:t>https://doi.org/10.1016/j.ecolmodel.2006.03.005</w:t>
        </w:r>
      </w:hyperlink>
    </w:p>
    <w:p w14:paraId="0000019B" w14:textId="77777777" w:rsidR="001527B5" w:rsidRPr="007F00C7" w:rsidRDefault="00000000">
      <w:pPr>
        <w:pBdr>
          <w:top w:val="nil"/>
          <w:left w:val="nil"/>
          <w:bottom w:val="nil"/>
          <w:right w:val="nil"/>
          <w:between w:val="nil"/>
        </w:pBdr>
        <w:spacing w:before="180" w:after="0"/>
        <w:ind w:left="720" w:hanging="720"/>
        <w:rPr>
          <w:color w:val="000000"/>
        </w:rPr>
      </w:pPr>
      <w:bookmarkStart w:id="84" w:name="bookmark=id.319y80a" w:colFirst="0" w:colLast="0"/>
      <w:bookmarkEnd w:id="84"/>
      <w:proofErr w:type="spellStart"/>
      <w:r w:rsidRPr="007F00C7">
        <w:rPr>
          <w:color w:val="000000"/>
        </w:rPr>
        <w:t>Hijmans</w:t>
      </w:r>
      <w:proofErr w:type="spellEnd"/>
      <w:r w:rsidRPr="007F00C7">
        <w:rPr>
          <w:color w:val="000000"/>
        </w:rPr>
        <w:t xml:space="preserve">, R.J., 2024. </w:t>
      </w:r>
      <w:r w:rsidRPr="007F00C7">
        <w:t>Terra: spatial data analysis [software]</w:t>
      </w:r>
      <w:r w:rsidRPr="007F00C7">
        <w:rPr>
          <w:color w:val="000000"/>
        </w:rPr>
        <w:t xml:space="preserve">. </w:t>
      </w:r>
      <w:r w:rsidRPr="007F00C7">
        <w:t xml:space="preserve">R package v1.7-71 </w:t>
      </w:r>
      <w:r w:rsidRPr="007F00C7">
        <w:rPr>
          <w:color w:val="000000"/>
        </w:rPr>
        <w:t>https://cran.r-project.org/package=terra</w:t>
      </w:r>
    </w:p>
    <w:p w14:paraId="0000019C" w14:textId="77777777" w:rsidR="001527B5" w:rsidRPr="007F00C7" w:rsidRDefault="00000000">
      <w:pPr>
        <w:pBdr>
          <w:top w:val="nil"/>
          <w:left w:val="nil"/>
          <w:bottom w:val="nil"/>
          <w:right w:val="nil"/>
          <w:between w:val="nil"/>
        </w:pBdr>
        <w:spacing w:before="180" w:after="0"/>
        <w:ind w:left="720" w:hanging="720"/>
        <w:rPr>
          <w:color w:val="000000"/>
        </w:rPr>
      </w:pPr>
      <w:bookmarkStart w:id="85" w:name="bookmark=id.1gf8i83" w:colFirst="0" w:colLast="0"/>
      <w:bookmarkEnd w:id="85"/>
      <w:r w:rsidRPr="007F00C7">
        <w:rPr>
          <w:color w:val="000000"/>
        </w:rPr>
        <w:t xml:space="preserve">Hu, J., Moore, D.J.P., Burns, S.P., Monson, R.K., 2010. Longer growing seasons lead to less carbon sequestration by a subalpine forest. Glob. Change Biol. 16, 771–783. </w:t>
      </w:r>
      <w:hyperlink r:id="rId60">
        <w:r w:rsidRPr="007F00C7">
          <w:rPr>
            <w:color w:val="4F81BD"/>
          </w:rPr>
          <w:t>https://doi.org/10.1111/j.1365-2486.2009.01967.x</w:t>
        </w:r>
      </w:hyperlink>
    </w:p>
    <w:p w14:paraId="0000019D" w14:textId="77777777" w:rsidR="001527B5" w:rsidRPr="007F00C7" w:rsidRDefault="00000000">
      <w:pPr>
        <w:pBdr>
          <w:top w:val="nil"/>
          <w:left w:val="nil"/>
          <w:bottom w:val="nil"/>
          <w:right w:val="nil"/>
          <w:between w:val="nil"/>
        </w:pBdr>
        <w:spacing w:before="180" w:after="0"/>
        <w:ind w:left="720" w:hanging="720"/>
        <w:rPr>
          <w:color w:val="000000"/>
        </w:rPr>
      </w:pPr>
      <w:bookmarkStart w:id="86" w:name="bookmark=id.40ew0vw" w:colFirst="0" w:colLast="0"/>
      <w:bookmarkEnd w:id="86"/>
      <w:r w:rsidRPr="007F00C7">
        <w:rPr>
          <w:color w:val="000000"/>
        </w:rPr>
        <w:t xml:space="preserve">Hurtt, G.C., </w:t>
      </w:r>
      <w:proofErr w:type="spellStart"/>
      <w:r w:rsidRPr="007F00C7">
        <w:rPr>
          <w:color w:val="000000"/>
        </w:rPr>
        <w:t>Dubayah</w:t>
      </w:r>
      <w:proofErr w:type="spellEnd"/>
      <w:r w:rsidRPr="007F00C7">
        <w:rPr>
          <w:color w:val="000000"/>
        </w:rPr>
        <w:t xml:space="preserve">, R., Drake, J., Moorcroft, P.R., </w:t>
      </w:r>
      <w:proofErr w:type="spellStart"/>
      <w:r w:rsidRPr="007F00C7">
        <w:rPr>
          <w:color w:val="000000"/>
        </w:rPr>
        <w:t>Pacala</w:t>
      </w:r>
      <w:proofErr w:type="spellEnd"/>
      <w:r w:rsidRPr="007F00C7">
        <w:rPr>
          <w:color w:val="000000"/>
        </w:rPr>
        <w:t xml:space="preserve">, S.W., Blair, J.B., Fearon, M.G., 2004. Beyond potential vegetation: Combining lidar data and a height-structured model for carbon studies. Ecol. Appl. 14, 873–883. </w:t>
      </w:r>
      <w:hyperlink r:id="rId61">
        <w:r w:rsidRPr="007F00C7">
          <w:rPr>
            <w:color w:val="4F81BD"/>
          </w:rPr>
          <w:t>https://doi.org/10.1890/02-5317</w:t>
        </w:r>
      </w:hyperlink>
    </w:p>
    <w:p w14:paraId="0000019E" w14:textId="77777777" w:rsidR="001527B5" w:rsidRPr="007F00C7" w:rsidRDefault="00000000">
      <w:pPr>
        <w:pBdr>
          <w:top w:val="nil"/>
          <w:left w:val="nil"/>
          <w:bottom w:val="nil"/>
          <w:right w:val="nil"/>
          <w:between w:val="nil"/>
        </w:pBdr>
        <w:spacing w:before="180" w:after="0"/>
        <w:ind w:left="720" w:hanging="720"/>
        <w:rPr>
          <w:color w:val="000000"/>
        </w:rPr>
      </w:pPr>
      <w:bookmarkStart w:id="87" w:name="bookmark=id.2fk6b3p" w:colFirst="0" w:colLast="0"/>
      <w:bookmarkEnd w:id="87"/>
      <w:r w:rsidRPr="007F00C7">
        <w:rPr>
          <w:color w:val="000000"/>
        </w:rPr>
        <w:t xml:space="preserve">Jucker, T., Caspersen, J., </w:t>
      </w:r>
      <w:proofErr w:type="spellStart"/>
      <w:r w:rsidRPr="007F00C7">
        <w:rPr>
          <w:color w:val="000000"/>
        </w:rPr>
        <w:t>Chave</w:t>
      </w:r>
      <w:proofErr w:type="spellEnd"/>
      <w:r w:rsidRPr="007F00C7">
        <w:rPr>
          <w:color w:val="000000"/>
        </w:rPr>
        <w:t xml:space="preserve">, J., </w:t>
      </w:r>
      <w:proofErr w:type="spellStart"/>
      <w:r w:rsidRPr="007F00C7">
        <w:rPr>
          <w:color w:val="000000"/>
        </w:rPr>
        <w:t>Antin</w:t>
      </w:r>
      <w:proofErr w:type="spellEnd"/>
      <w:r w:rsidRPr="007F00C7">
        <w:rPr>
          <w:color w:val="000000"/>
        </w:rPr>
        <w:t xml:space="preserve">, C., </w:t>
      </w:r>
      <w:proofErr w:type="spellStart"/>
      <w:r w:rsidRPr="007F00C7">
        <w:rPr>
          <w:color w:val="000000"/>
        </w:rPr>
        <w:t>Barbier</w:t>
      </w:r>
      <w:proofErr w:type="spellEnd"/>
      <w:r w:rsidRPr="007F00C7">
        <w:rPr>
          <w:color w:val="000000"/>
        </w:rPr>
        <w:t xml:space="preserve">, N., </w:t>
      </w:r>
      <w:proofErr w:type="spellStart"/>
      <w:r w:rsidRPr="007F00C7">
        <w:rPr>
          <w:color w:val="000000"/>
        </w:rPr>
        <w:t>Bongers</w:t>
      </w:r>
      <w:proofErr w:type="spellEnd"/>
      <w:r w:rsidRPr="007F00C7">
        <w:rPr>
          <w:color w:val="000000"/>
        </w:rPr>
        <w:t xml:space="preserve">, F., </w:t>
      </w:r>
      <w:proofErr w:type="spellStart"/>
      <w:r w:rsidRPr="007F00C7">
        <w:rPr>
          <w:color w:val="000000"/>
        </w:rPr>
        <w:t>Dalponte</w:t>
      </w:r>
      <w:proofErr w:type="spellEnd"/>
      <w:r w:rsidRPr="007F00C7">
        <w:rPr>
          <w:color w:val="000000"/>
        </w:rPr>
        <w:t xml:space="preserve">, M., van Ewijk, K.Y., Forrester, D.I., </w:t>
      </w:r>
      <w:proofErr w:type="spellStart"/>
      <w:r w:rsidRPr="007F00C7">
        <w:rPr>
          <w:color w:val="000000"/>
        </w:rPr>
        <w:t>Haeni</w:t>
      </w:r>
      <w:proofErr w:type="spellEnd"/>
      <w:r w:rsidRPr="007F00C7">
        <w:rPr>
          <w:color w:val="000000"/>
        </w:rPr>
        <w:t xml:space="preserve">, M., Higgins, S.I., </w:t>
      </w:r>
      <w:proofErr w:type="spellStart"/>
      <w:r w:rsidRPr="007F00C7">
        <w:rPr>
          <w:color w:val="000000"/>
        </w:rPr>
        <w:t>Holdaway</w:t>
      </w:r>
      <w:proofErr w:type="spellEnd"/>
      <w:r w:rsidRPr="007F00C7">
        <w:rPr>
          <w:color w:val="000000"/>
        </w:rPr>
        <w:t xml:space="preserve">, R.J., Iida, Y., Lorimer, C., Marshall, P.L., Momo, S., Moncrieff, G.R., </w:t>
      </w:r>
      <w:proofErr w:type="spellStart"/>
      <w:r w:rsidRPr="007F00C7">
        <w:rPr>
          <w:color w:val="000000"/>
        </w:rPr>
        <w:t>Ploton</w:t>
      </w:r>
      <w:proofErr w:type="spellEnd"/>
      <w:r w:rsidRPr="007F00C7">
        <w:rPr>
          <w:color w:val="000000"/>
        </w:rPr>
        <w:t xml:space="preserve">, P., </w:t>
      </w:r>
      <w:proofErr w:type="spellStart"/>
      <w:r w:rsidRPr="007F00C7">
        <w:rPr>
          <w:color w:val="000000"/>
        </w:rPr>
        <w:t>Poorter</w:t>
      </w:r>
      <w:proofErr w:type="spellEnd"/>
      <w:r w:rsidRPr="007F00C7">
        <w:rPr>
          <w:color w:val="000000"/>
        </w:rPr>
        <w:t xml:space="preserve">, L., Rahman, K.A., </w:t>
      </w:r>
      <w:proofErr w:type="spellStart"/>
      <w:r w:rsidRPr="007F00C7">
        <w:rPr>
          <w:color w:val="000000"/>
        </w:rPr>
        <w:t>Schlund</w:t>
      </w:r>
      <w:proofErr w:type="spellEnd"/>
      <w:r w:rsidRPr="007F00C7">
        <w:rPr>
          <w:color w:val="000000"/>
        </w:rPr>
        <w:t xml:space="preserve">, M., </w:t>
      </w:r>
      <w:proofErr w:type="spellStart"/>
      <w:r w:rsidRPr="007F00C7">
        <w:rPr>
          <w:color w:val="000000"/>
        </w:rPr>
        <w:t>Sonké</w:t>
      </w:r>
      <w:proofErr w:type="spellEnd"/>
      <w:r w:rsidRPr="007F00C7">
        <w:rPr>
          <w:color w:val="000000"/>
        </w:rPr>
        <w:t xml:space="preserve">, B., </w:t>
      </w:r>
      <w:proofErr w:type="spellStart"/>
      <w:r w:rsidRPr="007F00C7">
        <w:rPr>
          <w:color w:val="000000"/>
        </w:rPr>
        <w:t>Sterck</w:t>
      </w:r>
      <w:proofErr w:type="spellEnd"/>
      <w:r w:rsidRPr="007F00C7">
        <w:rPr>
          <w:color w:val="000000"/>
        </w:rPr>
        <w:t xml:space="preserve">, F.J., </w:t>
      </w:r>
      <w:proofErr w:type="spellStart"/>
      <w:r w:rsidRPr="007F00C7">
        <w:rPr>
          <w:color w:val="000000"/>
        </w:rPr>
        <w:t>Trugman</w:t>
      </w:r>
      <w:proofErr w:type="spellEnd"/>
      <w:r w:rsidRPr="007F00C7">
        <w:rPr>
          <w:color w:val="000000"/>
        </w:rPr>
        <w:t xml:space="preserve">, A.T., </w:t>
      </w:r>
      <w:proofErr w:type="spellStart"/>
      <w:r w:rsidRPr="007F00C7">
        <w:rPr>
          <w:color w:val="000000"/>
        </w:rPr>
        <w:t>Usoltsev</w:t>
      </w:r>
      <w:proofErr w:type="spellEnd"/>
      <w:r w:rsidRPr="007F00C7">
        <w:rPr>
          <w:color w:val="000000"/>
        </w:rPr>
        <w:t xml:space="preserve">, V.A., </w:t>
      </w:r>
      <w:proofErr w:type="spellStart"/>
      <w:r w:rsidRPr="007F00C7">
        <w:rPr>
          <w:color w:val="000000"/>
        </w:rPr>
        <w:t>Vanderwel</w:t>
      </w:r>
      <w:proofErr w:type="spellEnd"/>
      <w:r w:rsidRPr="007F00C7">
        <w:rPr>
          <w:color w:val="000000"/>
        </w:rPr>
        <w:t xml:space="preserve">, M.C., Waldner, P., </w:t>
      </w:r>
      <w:proofErr w:type="spellStart"/>
      <w:r w:rsidRPr="007F00C7">
        <w:rPr>
          <w:color w:val="000000"/>
        </w:rPr>
        <w:t>Wedeux</w:t>
      </w:r>
      <w:proofErr w:type="spellEnd"/>
      <w:r w:rsidRPr="007F00C7">
        <w:rPr>
          <w:color w:val="000000"/>
        </w:rPr>
        <w:t xml:space="preserve">, B.M.M., Wirth, C., </w:t>
      </w:r>
      <w:proofErr w:type="spellStart"/>
      <w:r w:rsidRPr="007F00C7">
        <w:rPr>
          <w:color w:val="000000"/>
        </w:rPr>
        <w:t>Wöll</w:t>
      </w:r>
      <w:proofErr w:type="spellEnd"/>
      <w:r w:rsidRPr="007F00C7">
        <w:rPr>
          <w:color w:val="000000"/>
        </w:rPr>
        <w:t xml:space="preserve">, H., Woods, M., Xiang, W., Zimmermann, N.E., </w:t>
      </w:r>
      <w:proofErr w:type="spellStart"/>
      <w:r w:rsidRPr="007F00C7">
        <w:rPr>
          <w:color w:val="000000"/>
        </w:rPr>
        <w:t>Coomes</w:t>
      </w:r>
      <w:proofErr w:type="spellEnd"/>
      <w:r w:rsidRPr="007F00C7">
        <w:rPr>
          <w:color w:val="000000"/>
        </w:rPr>
        <w:t xml:space="preserve">, D.A., 2017. Allometric equations for integrating remote sensing imagery into forest monitoring </w:t>
      </w:r>
      <w:proofErr w:type="spellStart"/>
      <w:r w:rsidRPr="007F00C7">
        <w:rPr>
          <w:color w:val="000000"/>
        </w:rPr>
        <w:t>programmes</w:t>
      </w:r>
      <w:proofErr w:type="spellEnd"/>
      <w:r w:rsidRPr="007F00C7">
        <w:rPr>
          <w:color w:val="000000"/>
        </w:rPr>
        <w:t xml:space="preserve">. Glob. Change Biol. 23, 177–190. </w:t>
      </w:r>
      <w:hyperlink r:id="rId62">
        <w:r w:rsidRPr="007F00C7">
          <w:rPr>
            <w:color w:val="4F81BD"/>
          </w:rPr>
          <w:t>https://doi.org/10.1111/gcb.13388</w:t>
        </w:r>
      </w:hyperlink>
    </w:p>
    <w:p w14:paraId="0000019F" w14:textId="77777777" w:rsidR="001527B5" w:rsidRPr="007F00C7" w:rsidRDefault="00000000">
      <w:pPr>
        <w:pBdr>
          <w:top w:val="nil"/>
          <w:left w:val="nil"/>
          <w:bottom w:val="nil"/>
          <w:right w:val="nil"/>
          <w:between w:val="nil"/>
        </w:pBdr>
        <w:spacing w:before="180" w:after="0"/>
        <w:ind w:left="720" w:hanging="720"/>
        <w:rPr>
          <w:color w:val="000000"/>
        </w:rPr>
      </w:pPr>
      <w:bookmarkStart w:id="88" w:name="bookmark=id.upglbi" w:colFirst="0" w:colLast="0"/>
      <w:bookmarkEnd w:id="88"/>
      <w:proofErr w:type="spellStart"/>
      <w:r w:rsidRPr="007F00C7">
        <w:rPr>
          <w:color w:val="000000"/>
        </w:rPr>
        <w:t>Kampe</w:t>
      </w:r>
      <w:proofErr w:type="spellEnd"/>
      <w:r w:rsidRPr="007F00C7">
        <w:rPr>
          <w:color w:val="000000"/>
        </w:rPr>
        <w:t xml:space="preserve">, T.U., 2010. NEON: The first continental-scale ecological observatory with airborne remote sensing of vegetation canopy biochemistry and structure. J. Appl. Remote Sens. 4, 043510. </w:t>
      </w:r>
      <w:hyperlink r:id="rId63">
        <w:r w:rsidRPr="007F00C7">
          <w:rPr>
            <w:color w:val="4F81BD"/>
          </w:rPr>
          <w:t>https://doi.org/10.1117/1.3361375</w:t>
        </w:r>
      </w:hyperlink>
    </w:p>
    <w:p w14:paraId="000001A0" w14:textId="77777777" w:rsidR="001527B5" w:rsidRPr="007F00C7" w:rsidRDefault="00000000">
      <w:pPr>
        <w:pBdr>
          <w:top w:val="nil"/>
          <w:left w:val="nil"/>
          <w:bottom w:val="nil"/>
          <w:right w:val="nil"/>
          <w:between w:val="nil"/>
        </w:pBdr>
        <w:spacing w:before="180" w:after="0"/>
        <w:ind w:left="720" w:hanging="720"/>
        <w:rPr>
          <w:color w:val="000000"/>
        </w:rPr>
      </w:pPr>
      <w:bookmarkStart w:id="89" w:name="bookmark=id.3ep43zb" w:colFirst="0" w:colLast="0"/>
      <w:bookmarkEnd w:id="89"/>
      <w:r w:rsidRPr="007F00C7">
        <w:rPr>
          <w:color w:val="000000"/>
        </w:rPr>
        <w:t xml:space="preserve">Kane, V.R., Lutz, J.A., Alina </w:t>
      </w:r>
      <w:proofErr w:type="spellStart"/>
      <w:r w:rsidRPr="007F00C7">
        <w:rPr>
          <w:color w:val="000000"/>
        </w:rPr>
        <w:t>Cansler</w:t>
      </w:r>
      <w:proofErr w:type="spellEnd"/>
      <w:r w:rsidRPr="007F00C7">
        <w:rPr>
          <w:color w:val="000000"/>
        </w:rPr>
        <w:t xml:space="preserve">, C., </w:t>
      </w:r>
      <w:proofErr w:type="spellStart"/>
      <w:r w:rsidRPr="007F00C7">
        <w:rPr>
          <w:color w:val="000000"/>
        </w:rPr>
        <w:t>Povak</w:t>
      </w:r>
      <w:proofErr w:type="spellEnd"/>
      <w:r w:rsidRPr="007F00C7">
        <w:rPr>
          <w:color w:val="000000"/>
        </w:rPr>
        <w:t xml:space="preserve">, N.A., Churchill, D.J., Smith, D.F., Kane, J.T., North, M.P., 2015. Water balance and topography predict fire and forest structure patterns. For. Ecol. </w:t>
      </w:r>
      <w:proofErr w:type="spellStart"/>
      <w:r w:rsidRPr="007F00C7">
        <w:rPr>
          <w:color w:val="000000"/>
        </w:rPr>
        <w:t>Manag</w:t>
      </w:r>
      <w:proofErr w:type="spellEnd"/>
      <w:r w:rsidRPr="007F00C7">
        <w:rPr>
          <w:color w:val="000000"/>
        </w:rPr>
        <w:t xml:space="preserve">. 338, 1–13. </w:t>
      </w:r>
      <w:hyperlink r:id="rId64">
        <w:r w:rsidRPr="007F00C7">
          <w:rPr>
            <w:color w:val="4F81BD"/>
          </w:rPr>
          <w:t>https://doi.org/10.1016/j.foreco.2014.10.038</w:t>
        </w:r>
      </w:hyperlink>
    </w:p>
    <w:p w14:paraId="000001A1" w14:textId="77777777" w:rsidR="001527B5" w:rsidRPr="007F00C7" w:rsidRDefault="00000000">
      <w:pPr>
        <w:pBdr>
          <w:top w:val="nil"/>
          <w:left w:val="nil"/>
          <w:bottom w:val="nil"/>
          <w:right w:val="nil"/>
          <w:between w:val="nil"/>
        </w:pBdr>
        <w:spacing w:before="180" w:after="0"/>
        <w:ind w:left="720" w:hanging="720"/>
        <w:rPr>
          <w:color w:val="000000"/>
        </w:rPr>
      </w:pPr>
      <w:bookmarkStart w:id="90" w:name="bookmark=id.1tuee74" w:colFirst="0" w:colLast="0"/>
      <w:bookmarkEnd w:id="90"/>
      <w:r w:rsidRPr="007F00C7">
        <w:rPr>
          <w:color w:val="000000"/>
        </w:rPr>
        <w:lastRenderedPageBreak/>
        <w:t xml:space="preserve">King, G.M., </w:t>
      </w:r>
      <w:proofErr w:type="spellStart"/>
      <w:r w:rsidRPr="007F00C7">
        <w:rPr>
          <w:color w:val="000000"/>
        </w:rPr>
        <w:t>Gugerli</w:t>
      </w:r>
      <w:proofErr w:type="spellEnd"/>
      <w:r w:rsidRPr="007F00C7">
        <w:rPr>
          <w:color w:val="000000"/>
        </w:rPr>
        <w:t xml:space="preserve">, F., Fonti, P., Frank, D.C., 2013. Tree growth response along an elevational gradient: Climate or genetics? </w:t>
      </w:r>
      <w:proofErr w:type="spellStart"/>
      <w:r w:rsidRPr="007F00C7">
        <w:rPr>
          <w:color w:val="000000"/>
        </w:rPr>
        <w:t>Oecologia</w:t>
      </w:r>
      <w:proofErr w:type="spellEnd"/>
      <w:r w:rsidRPr="007F00C7">
        <w:rPr>
          <w:color w:val="000000"/>
        </w:rPr>
        <w:t xml:space="preserve"> 173, 1587–1600. </w:t>
      </w:r>
      <w:hyperlink r:id="rId65">
        <w:r w:rsidRPr="007F00C7">
          <w:rPr>
            <w:color w:val="4F81BD"/>
          </w:rPr>
          <w:t>https://doi.org/10.1007/s00442-013-2696-6</w:t>
        </w:r>
      </w:hyperlink>
    </w:p>
    <w:p w14:paraId="000001A2" w14:textId="77777777" w:rsidR="001527B5" w:rsidRPr="007F00C7" w:rsidRDefault="00000000">
      <w:pPr>
        <w:pBdr>
          <w:top w:val="nil"/>
          <w:left w:val="nil"/>
          <w:bottom w:val="nil"/>
          <w:right w:val="nil"/>
          <w:between w:val="nil"/>
        </w:pBdr>
        <w:spacing w:before="180" w:after="0"/>
        <w:ind w:left="720" w:hanging="720"/>
        <w:rPr>
          <w:color w:val="000000"/>
        </w:rPr>
      </w:pPr>
      <w:bookmarkStart w:id="91" w:name="bookmark=id.4du1wux" w:colFirst="0" w:colLast="0"/>
      <w:bookmarkEnd w:id="91"/>
      <w:r w:rsidRPr="007F00C7">
        <w:rPr>
          <w:color w:val="000000"/>
        </w:rPr>
        <w:t xml:space="preserve">Knowles, P., Grant, M.C., 1983. Age and </w:t>
      </w:r>
      <w:r w:rsidRPr="007F00C7">
        <w:t>s</w:t>
      </w:r>
      <w:r w:rsidRPr="007F00C7">
        <w:rPr>
          <w:color w:val="000000"/>
        </w:rPr>
        <w:t xml:space="preserve">ize </w:t>
      </w:r>
      <w:r w:rsidRPr="007F00C7">
        <w:t>s</w:t>
      </w:r>
      <w:r w:rsidRPr="007F00C7">
        <w:rPr>
          <w:color w:val="000000"/>
        </w:rPr>
        <w:t xml:space="preserve">tructure </w:t>
      </w:r>
      <w:r w:rsidRPr="007F00C7">
        <w:t>a</w:t>
      </w:r>
      <w:r w:rsidRPr="007F00C7">
        <w:rPr>
          <w:color w:val="000000"/>
        </w:rPr>
        <w:t xml:space="preserve">nalyses of Engelmann </w:t>
      </w:r>
      <w:r w:rsidRPr="007F00C7">
        <w:t>s</w:t>
      </w:r>
      <w:r w:rsidRPr="007F00C7">
        <w:rPr>
          <w:color w:val="000000"/>
        </w:rPr>
        <w:t xml:space="preserve">pruce, </w:t>
      </w:r>
      <w:r w:rsidRPr="007F00C7">
        <w:t>p</w:t>
      </w:r>
      <w:r w:rsidRPr="007F00C7">
        <w:rPr>
          <w:color w:val="000000"/>
        </w:rPr>
        <w:t xml:space="preserve">onderosa </w:t>
      </w:r>
      <w:r w:rsidRPr="007F00C7">
        <w:t>p</w:t>
      </w:r>
      <w:r w:rsidRPr="007F00C7">
        <w:rPr>
          <w:color w:val="000000"/>
        </w:rPr>
        <w:t xml:space="preserve">ine, </w:t>
      </w:r>
      <w:r w:rsidRPr="007F00C7">
        <w:t>l</w:t>
      </w:r>
      <w:r w:rsidRPr="007F00C7">
        <w:rPr>
          <w:color w:val="000000"/>
        </w:rPr>
        <w:t xml:space="preserve">odgepole </w:t>
      </w:r>
      <w:r w:rsidRPr="007F00C7">
        <w:t>p</w:t>
      </w:r>
      <w:r w:rsidRPr="007F00C7">
        <w:rPr>
          <w:color w:val="000000"/>
        </w:rPr>
        <w:t xml:space="preserve">ine, and </w:t>
      </w:r>
      <w:r w:rsidRPr="007F00C7">
        <w:t>l</w:t>
      </w:r>
      <w:r w:rsidRPr="007F00C7">
        <w:rPr>
          <w:color w:val="000000"/>
        </w:rPr>
        <w:t xml:space="preserve">imber </w:t>
      </w:r>
      <w:r w:rsidRPr="007F00C7">
        <w:t>p</w:t>
      </w:r>
      <w:r w:rsidRPr="007F00C7">
        <w:rPr>
          <w:color w:val="000000"/>
        </w:rPr>
        <w:t xml:space="preserve">ine in Colorado. Ecology 64, 1–9. </w:t>
      </w:r>
      <w:hyperlink r:id="rId66">
        <w:r w:rsidRPr="007F00C7">
          <w:rPr>
            <w:color w:val="4F81BD"/>
          </w:rPr>
          <w:t>https://doi.org/10.2307/1937322</w:t>
        </w:r>
      </w:hyperlink>
    </w:p>
    <w:p w14:paraId="000001A3" w14:textId="77777777" w:rsidR="001527B5" w:rsidRPr="007F00C7" w:rsidRDefault="00000000">
      <w:pPr>
        <w:pBdr>
          <w:top w:val="nil"/>
          <w:left w:val="nil"/>
          <w:bottom w:val="nil"/>
          <w:right w:val="nil"/>
          <w:between w:val="nil"/>
        </w:pBdr>
        <w:spacing w:before="180" w:after="0"/>
        <w:ind w:left="720" w:hanging="720"/>
        <w:rPr>
          <w:color w:val="000000"/>
        </w:rPr>
      </w:pPr>
      <w:bookmarkStart w:id="92" w:name="bookmark=id.2szc72q" w:colFirst="0" w:colLast="0"/>
      <w:bookmarkEnd w:id="92"/>
      <w:proofErr w:type="spellStart"/>
      <w:r w:rsidRPr="007F00C7">
        <w:rPr>
          <w:color w:val="000000"/>
        </w:rPr>
        <w:t>Körner</w:t>
      </w:r>
      <w:proofErr w:type="spellEnd"/>
      <w:r w:rsidRPr="007F00C7">
        <w:rPr>
          <w:color w:val="000000"/>
        </w:rPr>
        <w:t xml:space="preserve">, C., Paulsen, J., 2004. A world-wide study of </w:t>
      </w:r>
      <w:proofErr w:type="gramStart"/>
      <w:r w:rsidRPr="007F00C7">
        <w:rPr>
          <w:color w:val="000000"/>
        </w:rPr>
        <w:t>high altitude</w:t>
      </w:r>
      <w:proofErr w:type="gramEnd"/>
      <w:r w:rsidRPr="007F00C7">
        <w:rPr>
          <w:color w:val="000000"/>
        </w:rPr>
        <w:t xml:space="preserve"> </w:t>
      </w:r>
      <w:proofErr w:type="spellStart"/>
      <w:r w:rsidRPr="007F00C7">
        <w:rPr>
          <w:color w:val="000000"/>
        </w:rPr>
        <w:t>treeline</w:t>
      </w:r>
      <w:proofErr w:type="spellEnd"/>
      <w:r w:rsidRPr="007F00C7">
        <w:rPr>
          <w:color w:val="000000"/>
        </w:rPr>
        <w:t xml:space="preserve"> temperatures. J. </w:t>
      </w:r>
      <w:proofErr w:type="spellStart"/>
      <w:r w:rsidRPr="007F00C7">
        <w:rPr>
          <w:color w:val="000000"/>
        </w:rPr>
        <w:t>Biogeogr</w:t>
      </w:r>
      <w:proofErr w:type="spellEnd"/>
      <w:r w:rsidRPr="007F00C7">
        <w:rPr>
          <w:color w:val="000000"/>
        </w:rPr>
        <w:t xml:space="preserve">. 31, 713–732. </w:t>
      </w:r>
      <w:hyperlink r:id="rId67">
        <w:r w:rsidRPr="007F00C7">
          <w:rPr>
            <w:color w:val="4F81BD"/>
          </w:rPr>
          <w:t>https://doi.org/10.1111/j.1365-2699.2003.01043.x</w:t>
        </w:r>
      </w:hyperlink>
    </w:p>
    <w:p w14:paraId="000001A4" w14:textId="77777777" w:rsidR="001527B5" w:rsidRPr="007F00C7" w:rsidRDefault="00000000">
      <w:pPr>
        <w:pBdr>
          <w:top w:val="nil"/>
          <w:left w:val="nil"/>
          <w:bottom w:val="nil"/>
          <w:right w:val="nil"/>
          <w:between w:val="nil"/>
        </w:pBdr>
        <w:spacing w:before="180" w:after="0"/>
        <w:ind w:left="720" w:hanging="720"/>
      </w:pPr>
      <w:proofErr w:type="spellStart"/>
      <w:r w:rsidRPr="007F00C7">
        <w:t>Körner</w:t>
      </w:r>
      <w:proofErr w:type="spellEnd"/>
      <w:r w:rsidRPr="007F00C7">
        <w:t xml:space="preserve">, C., 2008. Winter crop growth at low temperature may hold the answer for alpine </w:t>
      </w:r>
      <w:proofErr w:type="spellStart"/>
      <w:r w:rsidRPr="007F00C7">
        <w:t>treeline</w:t>
      </w:r>
      <w:proofErr w:type="spellEnd"/>
      <w:r w:rsidRPr="007F00C7">
        <w:t xml:space="preserve"> formation. Plant Ecol. Divers. 1, 3–11. </w:t>
      </w:r>
      <w:hyperlink r:id="rId68">
        <w:r w:rsidRPr="007F00C7">
          <w:rPr>
            <w:color w:val="4F81BD"/>
          </w:rPr>
          <w:t>https://doi.org/10.1080/17550870802273411</w:t>
        </w:r>
      </w:hyperlink>
    </w:p>
    <w:p w14:paraId="000001A5" w14:textId="77777777" w:rsidR="001527B5" w:rsidRPr="007F00C7" w:rsidRDefault="00000000">
      <w:pPr>
        <w:pBdr>
          <w:top w:val="nil"/>
          <w:left w:val="nil"/>
          <w:bottom w:val="nil"/>
          <w:right w:val="nil"/>
          <w:between w:val="nil"/>
        </w:pBdr>
        <w:spacing w:before="180" w:after="0"/>
        <w:ind w:left="720" w:hanging="720"/>
      </w:pPr>
      <w:bookmarkStart w:id="93" w:name="bookmark=id.184mhaj" w:colFirst="0" w:colLast="0"/>
      <w:bookmarkEnd w:id="93"/>
      <w:proofErr w:type="spellStart"/>
      <w:r w:rsidRPr="007F00C7">
        <w:rPr>
          <w:color w:val="000000"/>
        </w:rPr>
        <w:t>Kueppers</w:t>
      </w:r>
      <w:proofErr w:type="spellEnd"/>
      <w:r w:rsidRPr="007F00C7">
        <w:rPr>
          <w:color w:val="000000"/>
        </w:rPr>
        <w:t xml:space="preserve">, L.M., </w:t>
      </w:r>
      <w:proofErr w:type="spellStart"/>
      <w:r w:rsidRPr="007F00C7">
        <w:rPr>
          <w:color w:val="000000"/>
        </w:rPr>
        <w:t>Conlisk</w:t>
      </w:r>
      <w:proofErr w:type="spellEnd"/>
      <w:r w:rsidRPr="007F00C7">
        <w:rPr>
          <w:color w:val="000000"/>
        </w:rPr>
        <w:t xml:space="preserve">, E., Castanha, C., Moyes, A.B., </w:t>
      </w:r>
      <w:proofErr w:type="spellStart"/>
      <w:r w:rsidRPr="007F00C7">
        <w:rPr>
          <w:color w:val="000000"/>
        </w:rPr>
        <w:t>Germino</w:t>
      </w:r>
      <w:proofErr w:type="spellEnd"/>
      <w:r w:rsidRPr="007F00C7">
        <w:rPr>
          <w:color w:val="000000"/>
        </w:rPr>
        <w:t xml:space="preserve">, M.J., de </w:t>
      </w:r>
      <w:proofErr w:type="spellStart"/>
      <w:r w:rsidRPr="007F00C7">
        <w:rPr>
          <w:color w:val="000000"/>
        </w:rPr>
        <w:t>Valpine</w:t>
      </w:r>
      <w:proofErr w:type="spellEnd"/>
      <w:r w:rsidRPr="007F00C7">
        <w:rPr>
          <w:color w:val="000000"/>
        </w:rPr>
        <w:t xml:space="preserve">, P., Torn, M.S., Mitton, J.B., 2017. Warming and provenance limit tree recruitment across and beyond the elevation range of subalpine forest. Glob. Change Biol. 23, 2383–2395. </w:t>
      </w:r>
      <w:hyperlink r:id="rId69">
        <w:r w:rsidRPr="007F00C7">
          <w:rPr>
            <w:color w:val="4F81BD"/>
          </w:rPr>
          <w:t>https://doi.org/10.1111/gcb.13561</w:t>
        </w:r>
      </w:hyperlink>
    </w:p>
    <w:p w14:paraId="000001A6" w14:textId="75C26006" w:rsidR="001527B5" w:rsidRPr="007F00C7" w:rsidRDefault="00000000">
      <w:pPr>
        <w:pBdr>
          <w:top w:val="nil"/>
          <w:left w:val="nil"/>
          <w:bottom w:val="nil"/>
          <w:right w:val="nil"/>
          <w:between w:val="nil"/>
        </w:pBdr>
        <w:spacing w:before="180" w:after="0"/>
        <w:ind w:left="720" w:hanging="720"/>
      </w:pPr>
      <w:proofErr w:type="spellStart"/>
      <w:r w:rsidRPr="007F00C7">
        <w:t>Kueppers</w:t>
      </w:r>
      <w:proofErr w:type="spellEnd"/>
      <w:r w:rsidRPr="007F00C7">
        <w:t xml:space="preserve">, L.M., Harte, J., 2005. Subalpine forest carbon cycling: Short- and long-term influence of climate and species. Ecol. Appl. 15, 1984–1999. </w:t>
      </w:r>
      <w:r w:rsidRPr="007F00C7">
        <w:rPr>
          <w:color w:val="4F81BD"/>
        </w:rPr>
        <w:t>https://doi</w:t>
      </w:r>
      <w:r w:rsidR="00D10761" w:rsidRPr="007F00C7">
        <w:rPr>
          <w:color w:val="4F81BD"/>
        </w:rPr>
        <w:t>.</w:t>
      </w:r>
      <w:r w:rsidRPr="007F00C7">
        <w:rPr>
          <w:color w:val="4F81BD"/>
        </w:rPr>
        <w:t>org/10.1890/04-1769</w:t>
      </w:r>
    </w:p>
    <w:p w14:paraId="000001A7" w14:textId="77777777" w:rsidR="001527B5" w:rsidRPr="007F00C7" w:rsidRDefault="00000000">
      <w:pPr>
        <w:pBdr>
          <w:top w:val="nil"/>
          <w:left w:val="nil"/>
          <w:bottom w:val="nil"/>
          <w:right w:val="nil"/>
          <w:between w:val="nil"/>
        </w:pBdr>
        <w:spacing w:before="180" w:after="0"/>
        <w:ind w:left="720" w:hanging="720"/>
        <w:rPr>
          <w:color w:val="000000"/>
        </w:rPr>
      </w:pPr>
      <w:bookmarkStart w:id="94" w:name="bookmark=id.3s49zyc" w:colFirst="0" w:colLast="0"/>
      <w:bookmarkEnd w:id="94"/>
      <w:r w:rsidRPr="007F00C7">
        <w:rPr>
          <w:color w:val="000000"/>
        </w:rPr>
        <w:t xml:space="preserve">Kuhn, M., 2008. Building </w:t>
      </w:r>
      <w:r w:rsidRPr="007F00C7">
        <w:t>p</w:t>
      </w:r>
      <w:r w:rsidRPr="007F00C7">
        <w:rPr>
          <w:color w:val="000000"/>
        </w:rPr>
        <w:t xml:space="preserve">redictive </w:t>
      </w:r>
      <w:r w:rsidRPr="007F00C7">
        <w:t>m</w:t>
      </w:r>
      <w:r w:rsidRPr="007F00C7">
        <w:rPr>
          <w:color w:val="000000"/>
        </w:rPr>
        <w:t xml:space="preserve">odels in </w:t>
      </w:r>
      <w:r w:rsidRPr="007F00C7">
        <w:t>R</w:t>
      </w:r>
      <w:r w:rsidRPr="007F00C7">
        <w:rPr>
          <w:color w:val="000000"/>
        </w:rPr>
        <w:t xml:space="preserve"> </w:t>
      </w:r>
      <w:r w:rsidRPr="007F00C7">
        <w:t>u</w:t>
      </w:r>
      <w:r w:rsidRPr="007F00C7">
        <w:rPr>
          <w:color w:val="000000"/>
        </w:rPr>
        <w:t xml:space="preserve">sing the </w:t>
      </w:r>
      <w:r w:rsidRPr="007F00C7">
        <w:rPr>
          <w:i/>
        </w:rPr>
        <w:t>c</w:t>
      </w:r>
      <w:r w:rsidRPr="007F00C7">
        <w:rPr>
          <w:i/>
          <w:color w:val="000000"/>
        </w:rPr>
        <w:t>aret</w:t>
      </w:r>
      <w:r w:rsidRPr="007F00C7">
        <w:rPr>
          <w:color w:val="000000"/>
        </w:rPr>
        <w:t xml:space="preserve"> </w:t>
      </w:r>
      <w:r w:rsidRPr="007F00C7">
        <w:t>p</w:t>
      </w:r>
      <w:r w:rsidRPr="007F00C7">
        <w:rPr>
          <w:color w:val="000000"/>
        </w:rPr>
        <w:t xml:space="preserve">ackage. J. Stat. Soft. 28. </w:t>
      </w:r>
      <w:hyperlink r:id="rId70">
        <w:r w:rsidRPr="007F00C7">
          <w:rPr>
            <w:color w:val="4F81BD"/>
          </w:rPr>
          <w:t>https://doi.org/10.18637/jss.v028.i05</w:t>
        </w:r>
      </w:hyperlink>
    </w:p>
    <w:p w14:paraId="000001A8" w14:textId="77777777" w:rsidR="001527B5" w:rsidRPr="007F00C7" w:rsidRDefault="00000000">
      <w:pPr>
        <w:pBdr>
          <w:top w:val="nil"/>
          <w:left w:val="nil"/>
          <w:bottom w:val="nil"/>
          <w:right w:val="nil"/>
          <w:between w:val="nil"/>
        </w:pBdr>
        <w:spacing w:before="180" w:after="0"/>
        <w:ind w:left="720" w:hanging="720"/>
        <w:rPr>
          <w:color w:val="000000"/>
        </w:rPr>
      </w:pPr>
      <w:bookmarkStart w:id="95" w:name="bookmark=id.279ka65" w:colFirst="0" w:colLast="0"/>
      <w:bookmarkEnd w:id="95"/>
      <w:proofErr w:type="spellStart"/>
      <w:r w:rsidRPr="007F00C7">
        <w:rPr>
          <w:color w:val="000000"/>
        </w:rPr>
        <w:t>Langenheim</w:t>
      </w:r>
      <w:proofErr w:type="spellEnd"/>
      <w:r w:rsidRPr="007F00C7">
        <w:rPr>
          <w:color w:val="000000"/>
        </w:rPr>
        <w:t xml:space="preserve">, J.H., 1962. Vegetation and </w:t>
      </w:r>
      <w:r w:rsidRPr="007F00C7">
        <w:t>e</w:t>
      </w:r>
      <w:r w:rsidRPr="007F00C7">
        <w:rPr>
          <w:color w:val="000000"/>
        </w:rPr>
        <w:t xml:space="preserve">nvironmental </w:t>
      </w:r>
      <w:r w:rsidRPr="007F00C7">
        <w:t>p</w:t>
      </w:r>
      <w:r w:rsidRPr="007F00C7">
        <w:rPr>
          <w:color w:val="000000"/>
        </w:rPr>
        <w:t xml:space="preserve">atterns in the Crested Butte </w:t>
      </w:r>
      <w:r w:rsidRPr="007F00C7">
        <w:t>a</w:t>
      </w:r>
      <w:r w:rsidRPr="007F00C7">
        <w:rPr>
          <w:color w:val="000000"/>
        </w:rPr>
        <w:t xml:space="preserve">rea, Gunnison County, Colorado. Ecol. </w:t>
      </w:r>
      <w:proofErr w:type="spellStart"/>
      <w:r w:rsidRPr="007F00C7">
        <w:rPr>
          <w:color w:val="000000"/>
        </w:rPr>
        <w:t>Monogr</w:t>
      </w:r>
      <w:proofErr w:type="spellEnd"/>
      <w:r w:rsidRPr="007F00C7">
        <w:rPr>
          <w:color w:val="000000"/>
        </w:rPr>
        <w:t xml:space="preserve">. 32, 249–285. </w:t>
      </w:r>
      <w:hyperlink r:id="rId71">
        <w:r w:rsidRPr="007F00C7">
          <w:rPr>
            <w:color w:val="4F81BD"/>
          </w:rPr>
          <w:t>https://doi.org/10.2307/1942400</w:t>
        </w:r>
      </w:hyperlink>
    </w:p>
    <w:p w14:paraId="24EE42C0" w14:textId="0360B07D" w:rsidR="00C26FC7" w:rsidRPr="007F00C7" w:rsidRDefault="00C26FC7" w:rsidP="00C26FC7">
      <w:pPr>
        <w:pBdr>
          <w:top w:val="nil"/>
          <w:left w:val="nil"/>
          <w:bottom w:val="nil"/>
          <w:right w:val="nil"/>
          <w:between w:val="nil"/>
        </w:pBdr>
        <w:spacing w:before="180" w:after="0"/>
        <w:ind w:left="720" w:hanging="720"/>
        <w:rPr>
          <w:color w:val="000000"/>
        </w:rPr>
      </w:pPr>
      <w:proofErr w:type="spellStart"/>
      <w:r w:rsidRPr="00C26FC7">
        <w:rPr>
          <w:color w:val="000000"/>
        </w:rPr>
        <w:t>Langs</w:t>
      </w:r>
      <w:proofErr w:type="spellEnd"/>
      <w:r w:rsidRPr="007F00C7">
        <w:rPr>
          <w:color w:val="000000"/>
        </w:rPr>
        <w:t>,</w:t>
      </w:r>
      <w:r w:rsidRPr="00C26FC7">
        <w:rPr>
          <w:color w:val="000000"/>
        </w:rPr>
        <w:t xml:space="preserve"> </w:t>
      </w:r>
      <w:proofErr w:type="gramStart"/>
      <w:r w:rsidRPr="00C26FC7">
        <w:rPr>
          <w:color w:val="000000"/>
        </w:rPr>
        <w:t>L</w:t>
      </w:r>
      <w:r w:rsidRPr="007F00C7">
        <w:rPr>
          <w:color w:val="000000"/>
        </w:rPr>
        <w:t>.</w:t>
      </w:r>
      <w:r w:rsidRPr="00C26FC7">
        <w:rPr>
          <w:color w:val="000000"/>
        </w:rPr>
        <w:t>E</w:t>
      </w:r>
      <w:r w:rsidRPr="007F00C7">
        <w:rPr>
          <w:color w:val="000000"/>
        </w:rPr>
        <w:t>,</w:t>
      </w:r>
      <w:r w:rsidRPr="00C26FC7">
        <w:rPr>
          <w:color w:val="000000"/>
        </w:rPr>
        <w:t>,</w:t>
      </w:r>
      <w:proofErr w:type="gramEnd"/>
      <w:r w:rsidRPr="00C26FC7">
        <w:rPr>
          <w:color w:val="000000"/>
        </w:rPr>
        <w:t xml:space="preserve"> </w:t>
      </w:r>
      <w:proofErr w:type="spellStart"/>
      <w:r w:rsidRPr="00C26FC7">
        <w:rPr>
          <w:color w:val="000000"/>
        </w:rPr>
        <w:t>Petrone</w:t>
      </w:r>
      <w:proofErr w:type="spellEnd"/>
      <w:r w:rsidRPr="007F00C7">
        <w:rPr>
          <w:color w:val="000000"/>
        </w:rPr>
        <w:t>,</w:t>
      </w:r>
      <w:r w:rsidRPr="00C26FC7">
        <w:rPr>
          <w:color w:val="000000"/>
        </w:rPr>
        <w:t xml:space="preserve"> R</w:t>
      </w:r>
      <w:r w:rsidRPr="007F00C7">
        <w:rPr>
          <w:color w:val="000000"/>
        </w:rPr>
        <w:t>.</w:t>
      </w:r>
      <w:r w:rsidRPr="00C26FC7">
        <w:rPr>
          <w:color w:val="000000"/>
        </w:rPr>
        <w:t>M</w:t>
      </w:r>
      <w:r w:rsidRPr="007F00C7">
        <w:rPr>
          <w:color w:val="000000"/>
        </w:rPr>
        <w:t>.</w:t>
      </w:r>
      <w:r w:rsidRPr="00C26FC7">
        <w:rPr>
          <w:color w:val="000000"/>
        </w:rPr>
        <w:t>, Pomeroy</w:t>
      </w:r>
      <w:r w:rsidRPr="007F00C7">
        <w:rPr>
          <w:color w:val="000000"/>
        </w:rPr>
        <w:t>,</w:t>
      </w:r>
      <w:r w:rsidRPr="00C26FC7">
        <w:rPr>
          <w:color w:val="000000"/>
        </w:rPr>
        <w:t xml:space="preserve"> J</w:t>
      </w:r>
      <w:r w:rsidRPr="007F00C7">
        <w:rPr>
          <w:color w:val="000000"/>
        </w:rPr>
        <w:t>.</w:t>
      </w:r>
      <w:r w:rsidRPr="00C26FC7">
        <w:rPr>
          <w:color w:val="000000"/>
        </w:rPr>
        <w:t>W.</w:t>
      </w:r>
      <w:r w:rsidR="002220B9">
        <w:rPr>
          <w:color w:val="000000"/>
        </w:rPr>
        <w:t>,</w:t>
      </w:r>
      <w:r w:rsidRPr="007F00C7">
        <w:rPr>
          <w:color w:val="000000"/>
        </w:rPr>
        <w:t xml:space="preserve"> 2021.</w:t>
      </w:r>
      <w:r w:rsidRPr="00C26FC7">
        <w:rPr>
          <w:color w:val="000000"/>
        </w:rPr>
        <w:t xml:space="preserve"> Subalpine forest water </w:t>
      </w:r>
      <w:proofErr w:type="gramStart"/>
      <w:r w:rsidRPr="00C26FC7">
        <w:rPr>
          <w:color w:val="000000"/>
        </w:rPr>
        <w:t>use</w:t>
      </w:r>
      <w:proofErr w:type="gramEnd"/>
      <w:r w:rsidRPr="00C26FC7">
        <w:rPr>
          <w:color w:val="000000"/>
        </w:rPr>
        <w:t xml:space="preserve"> </w:t>
      </w:r>
      <w:proofErr w:type="spellStart"/>
      <w:r w:rsidRPr="00C26FC7">
        <w:rPr>
          <w:color w:val="000000"/>
        </w:rPr>
        <w:t>behaviour</w:t>
      </w:r>
      <w:proofErr w:type="spellEnd"/>
      <w:r w:rsidRPr="00C26FC7">
        <w:rPr>
          <w:color w:val="000000"/>
        </w:rPr>
        <w:t xml:space="preserve"> and evapotranspiration during two hydrologically contrasting growing seasons in the Canadian Rockies</w:t>
      </w:r>
      <w:r w:rsidRPr="007F00C7">
        <w:rPr>
          <w:color w:val="000000"/>
        </w:rPr>
        <w:t xml:space="preserve">. </w:t>
      </w:r>
      <w:proofErr w:type="spellStart"/>
      <w:r w:rsidRPr="007F00C7">
        <w:rPr>
          <w:color w:val="000000"/>
        </w:rPr>
        <w:t>Hydrol</w:t>
      </w:r>
      <w:proofErr w:type="spellEnd"/>
      <w:r w:rsidRPr="007F00C7">
        <w:rPr>
          <w:color w:val="000000"/>
        </w:rPr>
        <w:t xml:space="preserve">. Process. </w:t>
      </w:r>
      <w:r w:rsidRPr="00C26FC7">
        <w:rPr>
          <w:color w:val="000000"/>
        </w:rPr>
        <w:t>35</w:t>
      </w:r>
      <w:r w:rsidRPr="007F00C7">
        <w:rPr>
          <w:color w:val="000000"/>
        </w:rPr>
        <w:t xml:space="preserve">, </w:t>
      </w:r>
      <w:r w:rsidRPr="00C26FC7">
        <w:rPr>
          <w:color w:val="000000"/>
        </w:rPr>
        <w:t xml:space="preserve">e14158. </w:t>
      </w:r>
      <w:hyperlink r:id="rId72" w:history="1">
        <w:r w:rsidRPr="00C26FC7">
          <w:rPr>
            <w:rStyle w:val="Hyperlink"/>
          </w:rPr>
          <w:t>https://doi-org.libproxy.berkeley.edu/10.1002/hyp.14158</w:t>
        </w:r>
      </w:hyperlink>
    </w:p>
    <w:p w14:paraId="000001A9" w14:textId="7222323D" w:rsidR="001527B5" w:rsidRPr="007F00C7" w:rsidRDefault="00000000">
      <w:pPr>
        <w:pBdr>
          <w:top w:val="nil"/>
          <w:left w:val="nil"/>
          <w:bottom w:val="nil"/>
          <w:right w:val="nil"/>
          <w:between w:val="nil"/>
        </w:pBdr>
        <w:spacing w:before="180" w:after="0"/>
        <w:ind w:left="720" w:hanging="720"/>
        <w:rPr>
          <w:color w:val="000000"/>
        </w:rPr>
      </w:pPr>
      <w:proofErr w:type="spellStart"/>
      <w:r w:rsidRPr="007F00C7">
        <w:rPr>
          <w:color w:val="000000"/>
        </w:rPr>
        <w:t>Larjavaara</w:t>
      </w:r>
      <w:proofErr w:type="spellEnd"/>
      <w:r w:rsidRPr="007F00C7">
        <w:rPr>
          <w:color w:val="000000"/>
        </w:rPr>
        <w:t xml:space="preserve">, M., 2010. Maintenance cost, toppling </w:t>
      </w:r>
      <w:proofErr w:type="gramStart"/>
      <w:r w:rsidRPr="007F00C7">
        <w:rPr>
          <w:color w:val="000000"/>
        </w:rPr>
        <w:t>risk</w:t>
      </w:r>
      <w:proofErr w:type="gramEnd"/>
      <w:r w:rsidRPr="007F00C7">
        <w:rPr>
          <w:color w:val="000000"/>
        </w:rPr>
        <w:t xml:space="preserve"> and size of trees in a self-thinning stand. J. </w:t>
      </w:r>
      <w:proofErr w:type="spellStart"/>
      <w:r w:rsidRPr="007F00C7">
        <w:rPr>
          <w:color w:val="000000"/>
        </w:rPr>
        <w:t>Theor</w:t>
      </w:r>
      <w:proofErr w:type="spellEnd"/>
      <w:r w:rsidRPr="007F00C7">
        <w:rPr>
          <w:color w:val="000000"/>
        </w:rPr>
        <w:t xml:space="preserve">. Biol. 265, 63–67. </w:t>
      </w:r>
      <w:hyperlink r:id="rId73">
        <w:r w:rsidRPr="007F00C7">
          <w:rPr>
            <w:color w:val="4F81BD"/>
          </w:rPr>
          <w:t>https://doi.org/10.1016/j.jtbi.2010.04.021</w:t>
        </w:r>
      </w:hyperlink>
    </w:p>
    <w:p w14:paraId="000001AA" w14:textId="77777777" w:rsidR="001527B5" w:rsidRPr="007F00C7" w:rsidRDefault="00000000">
      <w:pPr>
        <w:pBdr>
          <w:top w:val="nil"/>
          <w:left w:val="nil"/>
          <w:bottom w:val="nil"/>
          <w:right w:val="nil"/>
          <w:between w:val="nil"/>
        </w:pBdr>
        <w:spacing w:before="180" w:after="0"/>
        <w:ind w:left="720" w:hanging="720"/>
        <w:rPr>
          <w:color w:val="000000"/>
        </w:rPr>
      </w:pPr>
      <w:bookmarkStart w:id="96" w:name="bookmark=id.36ei31r" w:colFirst="0" w:colLast="0"/>
      <w:bookmarkEnd w:id="96"/>
      <w:r w:rsidRPr="007F00C7">
        <w:rPr>
          <w:color w:val="000000"/>
        </w:rPr>
        <w:t xml:space="preserve">Lawler, R.R., Link, T.E., 2011. Quantification of incoming all-wave radiation in discontinuous forest canopies with application to snowmelt prediction. </w:t>
      </w:r>
      <w:proofErr w:type="spellStart"/>
      <w:r w:rsidRPr="007F00C7">
        <w:rPr>
          <w:color w:val="000000"/>
        </w:rPr>
        <w:t>Hydrol</w:t>
      </w:r>
      <w:proofErr w:type="spellEnd"/>
      <w:r w:rsidRPr="007F00C7">
        <w:rPr>
          <w:color w:val="000000"/>
        </w:rPr>
        <w:t xml:space="preserve">. Process. 25, 3322–3331. </w:t>
      </w:r>
      <w:hyperlink r:id="rId74">
        <w:r w:rsidRPr="007F00C7">
          <w:rPr>
            <w:color w:val="4F81BD"/>
          </w:rPr>
          <w:t>https://doi.org/10.1002/hyp.8150</w:t>
        </w:r>
      </w:hyperlink>
    </w:p>
    <w:p w14:paraId="000001AB" w14:textId="77777777" w:rsidR="001527B5" w:rsidRPr="007F00C7" w:rsidRDefault="00000000">
      <w:pPr>
        <w:pBdr>
          <w:top w:val="nil"/>
          <w:left w:val="nil"/>
          <w:bottom w:val="nil"/>
          <w:right w:val="nil"/>
          <w:between w:val="nil"/>
        </w:pBdr>
        <w:spacing w:before="180" w:after="0"/>
        <w:ind w:left="720" w:hanging="720"/>
        <w:rPr>
          <w:color w:val="000000"/>
        </w:rPr>
      </w:pPr>
      <w:bookmarkStart w:id="97" w:name="bookmark=id.1ljsd9k" w:colFirst="0" w:colLast="0"/>
      <w:bookmarkEnd w:id="97"/>
      <w:proofErr w:type="spellStart"/>
      <w:r w:rsidRPr="007F00C7">
        <w:rPr>
          <w:color w:val="000000"/>
        </w:rPr>
        <w:t>Littell</w:t>
      </w:r>
      <w:proofErr w:type="spellEnd"/>
      <w:r w:rsidRPr="007F00C7">
        <w:rPr>
          <w:color w:val="000000"/>
        </w:rPr>
        <w:t xml:space="preserve">, J.S., Peterson, D.L., </w:t>
      </w:r>
      <w:proofErr w:type="spellStart"/>
      <w:r w:rsidRPr="007F00C7">
        <w:rPr>
          <w:color w:val="000000"/>
        </w:rPr>
        <w:t>Tjoelker</w:t>
      </w:r>
      <w:proofErr w:type="spellEnd"/>
      <w:r w:rsidRPr="007F00C7">
        <w:rPr>
          <w:color w:val="000000"/>
        </w:rPr>
        <w:t xml:space="preserve">, M., 2008. Douglas-fir growth in mountain ecosystems: Water limits tree growth from stand to region. Ecol. </w:t>
      </w:r>
      <w:proofErr w:type="spellStart"/>
      <w:r w:rsidRPr="007F00C7">
        <w:rPr>
          <w:color w:val="000000"/>
        </w:rPr>
        <w:t>Monogr</w:t>
      </w:r>
      <w:proofErr w:type="spellEnd"/>
      <w:r w:rsidRPr="007F00C7">
        <w:rPr>
          <w:color w:val="000000"/>
        </w:rPr>
        <w:t xml:space="preserve">. 78, 349–368. </w:t>
      </w:r>
      <w:hyperlink r:id="rId75">
        <w:r w:rsidRPr="007F00C7">
          <w:rPr>
            <w:color w:val="4F81BD"/>
          </w:rPr>
          <w:t>https://doi.org/10.1890/07-0712.1</w:t>
        </w:r>
      </w:hyperlink>
    </w:p>
    <w:p w14:paraId="000001AC" w14:textId="77777777" w:rsidR="001527B5" w:rsidRPr="007F00C7" w:rsidRDefault="00000000">
      <w:pPr>
        <w:pBdr>
          <w:top w:val="nil"/>
          <w:left w:val="nil"/>
          <w:bottom w:val="nil"/>
          <w:right w:val="nil"/>
          <w:between w:val="nil"/>
        </w:pBdr>
        <w:spacing w:before="180" w:after="0"/>
        <w:ind w:left="720" w:hanging="720"/>
        <w:rPr>
          <w:color w:val="000000"/>
        </w:rPr>
      </w:pPr>
      <w:bookmarkStart w:id="98" w:name="bookmark=id.45jfvxd" w:colFirst="0" w:colLast="0"/>
      <w:bookmarkEnd w:id="98"/>
      <w:r w:rsidRPr="007F00C7">
        <w:rPr>
          <w:color w:val="000000"/>
        </w:rPr>
        <w:t>Lundquist, J.D., Dickerson-Lange, S.E., Lutz, J.A., Cristea, N.C., 2013. Lower forest density enhances snow retention in regions with warmer winters: A global framework developed from plot-scale observations and modeling</w:t>
      </w:r>
      <w:r w:rsidRPr="007F00C7">
        <w:t xml:space="preserve"> </w:t>
      </w:r>
      <w:r w:rsidRPr="007F00C7">
        <w:rPr>
          <w:color w:val="000000"/>
        </w:rPr>
        <w:t xml:space="preserve">Water </w:t>
      </w:r>
      <w:proofErr w:type="spellStart"/>
      <w:r w:rsidRPr="007F00C7">
        <w:rPr>
          <w:color w:val="000000"/>
        </w:rPr>
        <w:t>Resour</w:t>
      </w:r>
      <w:proofErr w:type="spellEnd"/>
      <w:r w:rsidRPr="007F00C7">
        <w:rPr>
          <w:color w:val="000000"/>
        </w:rPr>
        <w:t xml:space="preserve">. Res. 49, 6356–6370. </w:t>
      </w:r>
      <w:hyperlink r:id="rId76">
        <w:r w:rsidRPr="007F00C7">
          <w:rPr>
            <w:color w:val="4F81BD"/>
          </w:rPr>
          <w:t>https://doi.org/10.1002/wrcr.20504</w:t>
        </w:r>
      </w:hyperlink>
    </w:p>
    <w:p w14:paraId="000001AD" w14:textId="77777777" w:rsidR="001527B5" w:rsidRPr="007F00C7" w:rsidRDefault="00000000">
      <w:pPr>
        <w:pBdr>
          <w:top w:val="nil"/>
          <w:left w:val="nil"/>
          <w:bottom w:val="nil"/>
          <w:right w:val="nil"/>
          <w:between w:val="nil"/>
        </w:pBdr>
        <w:spacing w:before="180" w:after="0"/>
        <w:ind w:left="720" w:hanging="720"/>
        <w:rPr>
          <w:color w:val="000000"/>
        </w:rPr>
      </w:pPr>
      <w:bookmarkStart w:id="99" w:name="bookmark=id.2koq656" w:colFirst="0" w:colLast="0"/>
      <w:bookmarkEnd w:id="99"/>
      <w:proofErr w:type="spellStart"/>
      <w:r w:rsidRPr="007F00C7">
        <w:rPr>
          <w:color w:val="000000"/>
        </w:rPr>
        <w:lastRenderedPageBreak/>
        <w:t>Lydersen</w:t>
      </w:r>
      <w:proofErr w:type="spellEnd"/>
      <w:r w:rsidRPr="007F00C7">
        <w:rPr>
          <w:color w:val="000000"/>
        </w:rPr>
        <w:t xml:space="preserve">, J., North, M., 2012. Topographic </w:t>
      </w:r>
      <w:r w:rsidRPr="007F00C7">
        <w:t>v</w:t>
      </w:r>
      <w:r w:rsidRPr="007F00C7">
        <w:rPr>
          <w:color w:val="000000"/>
        </w:rPr>
        <w:t xml:space="preserve">ariation in </w:t>
      </w:r>
      <w:r w:rsidRPr="007F00C7">
        <w:t>s</w:t>
      </w:r>
      <w:r w:rsidRPr="007F00C7">
        <w:rPr>
          <w:color w:val="000000"/>
        </w:rPr>
        <w:t xml:space="preserve">tructure of </w:t>
      </w:r>
      <w:r w:rsidRPr="007F00C7">
        <w:t>m</w:t>
      </w:r>
      <w:r w:rsidRPr="007F00C7">
        <w:rPr>
          <w:color w:val="000000"/>
        </w:rPr>
        <w:t>ixed-</w:t>
      </w:r>
      <w:r w:rsidRPr="007F00C7">
        <w:t>c</w:t>
      </w:r>
      <w:r w:rsidRPr="007F00C7">
        <w:rPr>
          <w:color w:val="000000"/>
        </w:rPr>
        <w:t xml:space="preserve">onifer </w:t>
      </w:r>
      <w:r w:rsidRPr="007F00C7">
        <w:t>f</w:t>
      </w:r>
      <w:r w:rsidRPr="007F00C7">
        <w:rPr>
          <w:color w:val="000000"/>
        </w:rPr>
        <w:t xml:space="preserve">orests </w:t>
      </w:r>
      <w:r w:rsidRPr="007F00C7">
        <w:t>u</w:t>
      </w:r>
      <w:r w:rsidRPr="007F00C7">
        <w:rPr>
          <w:color w:val="000000"/>
        </w:rPr>
        <w:t xml:space="preserve">nder an </w:t>
      </w:r>
      <w:r w:rsidRPr="007F00C7">
        <w:t>a</w:t>
      </w:r>
      <w:r w:rsidRPr="007F00C7">
        <w:rPr>
          <w:color w:val="000000"/>
        </w:rPr>
        <w:t>ctive-</w:t>
      </w:r>
      <w:r w:rsidRPr="007F00C7">
        <w:t>f</w:t>
      </w:r>
      <w:r w:rsidRPr="007F00C7">
        <w:rPr>
          <w:color w:val="000000"/>
        </w:rPr>
        <w:t xml:space="preserve">ire </w:t>
      </w:r>
      <w:r w:rsidRPr="007F00C7">
        <w:t>r</w:t>
      </w:r>
      <w:r w:rsidRPr="007F00C7">
        <w:rPr>
          <w:color w:val="000000"/>
        </w:rPr>
        <w:t xml:space="preserve">egime. </w:t>
      </w:r>
      <w:proofErr w:type="spellStart"/>
      <w:r w:rsidRPr="007F00C7">
        <w:rPr>
          <w:color w:val="000000"/>
        </w:rPr>
        <w:t>Ecosys</w:t>
      </w:r>
      <w:r w:rsidRPr="007F00C7">
        <w:t>t</w:t>
      </w:r>
      <w:proofErr w:type="spellEnd"/>
      <w:r w:rsidRPr="007F00C7">
        <w:t>.</w:t>
      </w:r>
      <w:r w:rsidRPr="007F00C7">
        <w:rPr>
          <w:color w:val="000000"/>
        </w:rPr>
        <w:t xml:space="preserve"> 15, 1134–1146. </w:t>
      </w:r>
      <w:hyperlink r:id="rId77">
        <w:r w:rsidRPr="007F00C7">
          <w:rPr>
            <w:color w:val="4F81BD"/>
          </w:rPr>
          <w:t>https://doi.org/10.1007/s10021-012-9573-8</w:t>
        </w:r>
      </w:hyperlink>
    </w:p>
    <w:p w14:paraId="000001AE" w14:textId="77777777" w:rsidR="001527B5" w:rsidRPr="007F00C7" w:rsidRDefault="00000000">
      <w:pPr>
        <w:pBdr>
          <w:top w:val="nil"/>
          <w:left w:val="nil"/>
          <w:bottom w:val="nil"/>
          <w:right w:val="nil"/>
          <w:between w:val="nil"/>
        </w:pBdr>
        <w:spacing w:before="180" w:after="0"/>
        <w:ind w:left="720" w:hanging="720"/>
        <w:rPr>
          <w:color w:val="000000"/>
        </w:rPr>
      </w:pPr>
      <w:bookmarkStart w:id="100" w:name="bookmark=id.zu0gcz" w:colFirst="0" w:colLast="0"/>
      <w:bookmarkEnd w:id="100"/>
      <w:r w:rsidRPr="007F00C7">
        <w:rPr>
          <w:color w:val="000000"/>
        </w:rPr>
        <w:t xml:space="preserve">Macias-Fauria, M., Johnson, E.A., 2013. Warming-induced upslope advance of subalpine forest is severely limited by geomorphic processes. Proc. Natl. Acad. Sci. U.S.A. 110, 8117–8122. </w:t>
      </w:r>
      <w:hyperlink r:id="rId78">
        <w:r w:rsidRPr="007F00C7">
          <w:rPr>
            <w:color w:val="4F81BD"/>
          </w:rPr>
          <w:t>https://doi.org/10.1073/pnas.1221278110</w:t>
        </w:r>
      </w:hyperlink>
    </w:p>
    <w:p w14:paraId="000001AF" w14:textId="77777777" w:rsidR="001527B5" w:rsidRPr="007F00C7" w:rsidRDefault="00000000">
      <w:pPr>
        <w:pBdr>
          <w:top w:val="nil"/>
          <w:left w:val="nil"/>
          <w:bottom w:val="nil"/>
          <w:right w:val="nil"/>
          <w:between w:val="nil"/>
        </w:pBdr>
        <w:spacing w:before="180" w:after="0"/>
        <w:ind w:left="720" w:hanging="720"/>
        <w:rPr>
          <w:color w:val="000000"/>
        </w:rPr>
      </w:pPr>
      <w:bookmarkStart w:id="101" w:name="bookmark=id.3jtnz0s" w:colFirst="0" w:colLast="0"/>
      <w:bookmarkEnd w:id="101"/>
      <w:r w:rsidRPr="007F00C7">
        <w:rPr>
          <w:color w:val="000000"/>
        </w:rPr>
        <w:t xml:space="preserve">Mallet, C., </w:t>
      </w:r>
      <w:proofErr w:type="spellStart"/>
      <w:r w:rsidRPr="007F00C7">
        <w:rPr>
          <w:color w:val="000000"/>
        </w:rPr>
        <w:t>Bretar</w:t>
      </w:r>
      <w:proofErr w:type="spellEnd"/>
      <w:r w:rsidRPr="007F00C7">
        <w:rPr>
          <w:color w:val="000000"/>
        </w:rPr>
        <w:t xml:space="preserve">, F., 2009. Full-waveform topographic lidar: State-of-the-art. ISPRS J. </w:t>
      </w:r>
      <w:proofErr w:type="spellStart"/>
      <w:r w:rsidRPr="007F00C7">
        <w:rPr>
          <w:color w:val="000000"/>
        </w:rPr>
        <w:t>Photogramm</w:t>
      </w:r>
      <w:proofErr w:type="spellEnd"/>
      <w:r w:rsidRPr="007F00C7">
        <w:rPr>
          <w:color w:val="000000"/>
        </w:rPr>
        <w:t xml:space="preserve">. Remote Sens. 64, 1–16. </w:t>
      </w:r>
      <w:hyperlink r:id="rId79">
        <w:r w:rsidRPr="007F00C7">
          <w:rPr>
            <w:color w:val="4F81BD"/>
          </w:rPr>
          <w:t>https://doi.org/10.1016/j.isprsjprs.2008.09.007</w:t>
        </w:r>
      </w:hyperlink>
    </w:p>
    <w:p w14:paraId="000001B0" w14:textId="77777777" w:rsidR="001527B5" w:rsidRPr="007F00C7" w:rsidRDefault="00000000">
      <w:pPr>
        <w:pBdr>
          <w:top w:val="nil"/>
          <w:left w:val="nil"/>
          <w:bottom w:val="nil"/>
          <w:right w:val="nil"/>
          <w:between w:val="nil"/>
        </w:pBdr>
        <w:spacing w:before="180" w:after="0"/>
        <w:ind w:left="720" w:hanging="720"/>
      </w:pPr>
      <w:proofErr w:type="spellStart"/>
      <w:r w:rsidRPr="007F00C7">
        <w:t>Marra</w:t>
      </w:r>
      <w:proofErr w:type="spellEnd"/>
      <w:r w:rsidRPr="007F00C7">
        <w:t xml:space="preserve">, G., Wood, S.N., 2011. Practical variable selection for generalized additive models. </w:t>
      </w:r>
      <w:proofErr w:type="spellStart"/>
      <w:r w:rsidRPr="007F00C7">
        <w:t>Comput</w:t>
      </w:r>
      <w:proofErr w:type="spellEnd"/>
      <w:r w:rsidRPr="007F00C7">
        <w:t>. Stat. Data. Anal. 55, 2372–2387</w:t>
      </w:r>
    </w:p>
    <w:p w14:paraId="000001B1" w14:textId="77777777" w:rsidR="001527B5" w:rsidRPr="007F00C7" w:rsidRDefault="00000000">
      <w:pPr>
        <w:pBdr>
          <w:top w:val="nil"/>
          <w:left w:val="nil"/>
          <w:bottom w:val="nil"/>
          <w:right w:val="nil"/>
          <w:between w:val="nil"/>
        </w:pBdr>
        <w:spacing w:before="180" w:after="0"/>
        <w:ind w:left="720" w:hanging="720"/>
        <w:rPr>
          <w:color w:val="000000"/>
        </w:rPr>
      </w:pPr>
      <w:bookmarkStart w:id="102" w:name="bookmark=id.1yyy98l" w:colFirst="0" w:colLast="0"/>
      <w:bookmarkEnd w:id="102"/>
      <w:r w:rsidRPr="007F00C7">
        <w:rPr>
          <w:color w:val="000000"/>
        </w:rPr>
        <w:t xml:space="preserve">Marrs, J., Ni-Meister, W., 2019. Machine </w:t>
      </w:r>
      <w:r w:rsidRPr="007F00C7">
        <w:t>l</w:t>
      </w:r>
      <w:r w:rsidRPr="007F00C7">
        <w:rPr>
          <w:color w:val="000000"/>
        </w:rPr>
        <w:t xml:space="preserve">earning </w:t>
      </w:r>
      <w:r w:rsidRPr="007F00C7">
        <w:t>t</w:t>
      </w:r>
      <w:r w:rsidRPr="007F00C7">
        <w:rPr>
          <w:color w:val="000000"/>
        </w:rPr>
        <w:t xml:space="preserve">echniques for </w:t>
      </w:r>
      <w:r w:rsidRPr="007F00C7">
        <w:t>t</w:t>
      </w:r>
      <w:r w:rsidRPr="007F00C7">
        <w:rPr>
          <w:color w:val="000000"/>
        </w:rPr>
        <w:t xml:space="preserve">ree </w:t>
      </w:r>
      <w:r w:rsidRPr="007F00C7">
        <w:t>s</w:t>
      </w:r>
      <w:r w:rsidRPr="007F00C7">
        <w:rPr>
          <w:color w:val="000000"/>
        </w:rPr>
        <w:t xml:space="preserve">pecies </w:t>
      </w:r>
      <w:r w:rsidRPr="007F00C7">
        <w:t>c</w:t>
      </w:r>
      <w:r w:rsidRPr="007F00C7">
        <w:rPr>
          <w:color w:val="000000"/>
        </w:rPr>
        <w:t xml:space="preserve">lassification </w:t>
      </w:r>
      <w:r w:rsidRPr="007F00C7">
        <w:t>u</w:t>
      </w:r>
      <w:r w:rsidRPr="007F00C7">
        <w:rPr>
          <w:color w:val="000000"/>
        </w:rPr>
        <w:t xml:space="preserve">sing </w:t>
      </w:r>
      <w:r w:rsidRPr="007F00C7">
        <w:t>c</w:t>
      </w:r>
      <w:r w:rsidRPr="007F00C7">
        <w:rPr>
          <w:color w:val="000000"/>
        </w:rPr>
        <w:t>o-</w:t>
      </w:r>
      <w:r w:rsidRPr="007F00C7">
        <w:t>r</w:t>
      </w:r>
      <w:r w:rsidRPr="007F00C7">
        <w:rPr>
          <w:color w:val="000000"/>
        </w:rPr>
        <w:t xml:space="preserve">egistered LiDAR and </w:t>
      </w:r>
      <w:r w:rsidRPr="007F00C7">
        <w:t>h</w:t>
      </w:r>
      <w:r w:rsidRPr="007F00C7">
        <w:rPr>
          <w:color w:val="000000"/>
        </w:rPr>
        <w:t xml:space="preserve">yperspectral </w:t>
      </w:r>
      <w:r w:rsidRPr="007F00C7">
        <w:t>d</w:t>
      </w:r>
      <w:r w:rsidRPr="007F00C7">
        <w:rPr>
          <w:color w:val="000000"/>
        </w:rPr>
        <w:t xml:space="preserve">ata. Remote Sens. 11, 819. </w:t>
      </w:r>
      <w:hyperlink r:id="rId80">
        <w:r w:rsidRPr="007F00C7">
          <w:rPr>
            <w:color w:val="4F81BD"/>
          </w:rPr>
          <w:t>https://doi.org/10.3390/rs11070819</w:t>
        </w:r>
      </w:hyperlink>
    </w:p>
    <w:p w14:paraId="000001B2" w14:textId="77777777" w:rsidR="001527B5" w:rsidRPr="007F00C7" w:rsidRDefault="00000000">
      <w:pPr>
        <w:pBdr>
          <w:top w:val="nil"/>
          <w:left w:val="nil"/>
          <w:bottom w:val="nil"/>
          <w:right w:val="nil"/>
          <w:between w:val="nil"/>
        </w:pBdr>
        <w:spacing w:before="180" w:after="0"/>
        <w:ind w:left="720" w:hanging="720"/>
        <w:rPr>
          <w:color w:val="000000"/>
        </w:rPr>
      </w:pPr>
      <w:bookmarkStart w:id="103" w:name="bookmark=id.4iylrwe" w:colFirst="0" w:colLast="0"/>
      <w:bookmarkEnd w:id="103"/>
      <w:r w:rsidRPr="007F00C7">
        <w:rPr>
          <w:color w:val="000000"/>
        </w:rPr>
        <w:t xml:space="preserve">McCormick, E.L., </w:t>
      </w:r>
      <w:proofErr w:type="spellStart"/>
      <w:r w:rsidRPr="007F00C7">
        <w:rPr>
          <w:color w:val="000000"/>
        </w:rPr>
        <w:t>Dralle</w:t>
      </w:r>
      <w:proofErr w:type="spellEnd"/>
      <w:r w:rsidRPr="007F00C7">
        <w:rPr>
          <w:color w:val="000000"/>
        </w:rPr>
        <w:t xml:space="preserve">, D.N., </w:t>
      </w:r>
      <w:proofErr w:type="spellStart"/>
      <w:r w:rsidRPr="007F00C7">
        <w:rPr>
          <w:color w:val="000000"/>
        </w:rPr>
        <w:t>Hahm</w:t>
      </w:r>
      <w:proofErr w:type="spellEnd"/>
      <w:r w:rsidRPr="007F00C7">
        <w:rPr>
          <w:color w:val="000000"/>
        </w:rPr>
        <w:t xml:space="preserve">, W.J., Tune, A.K., Schmidt, L.M., Chadwick, K.D., Rempe, D.M., 2021. Widespread woody plant use of water stored in bedrock. Nature 597, 225–229. </w:t>
      </w:r>
      <w:hyperlink r:id="rId81">
        <w:r w:rsidRPr="007F00C7">
          <w:rPr>
            <w:color w:val="4F81BD"/>
          </w:rPr>
          <w:t>https://doi.org/10.1038/s41586-021-03761-3</w:t>
        </w:r>
      </w:hyperlink>
    </w:p>
    <w:p w14:paraId="000001B3" w14:textId="77777777" w:rsidR="001527B5" w:rsidRPr="007F00C7" w:rsidRDefault="00000000">
      <w:pPr>
        <w:pBdr>
          <w:top w:val="nil"/>
          <w:left w:val="nil"/>
          <w:bottom w:val="nil"/>
          <w:right w:val="nil"/>
          <w:between w:val="nil"/>
        </w:pBdr>
        <w:spacing w:before="180" w:after="0"/>
        <w:ind w:left="720" w:hanging="720"/>
        <w:rPr>
          <w:color w:val="000000"/>
        </w:rPr>
      </w:pPr>
      <w:bookmarkStart w:id="104" w:name="bookmark=id.2y3w247" w:colFirst="0" w:colLast="0"/>
      <w:bookmarkEnd w:id="104"/>
      <w:r w:rsidRPr="007F00C7">
        <w:rPr>
          <w:color w:val="000000"/>
        </w:rPr>
        <w:t xml:space="preserve">McCune, B., Keon, D., 2002. Equations for potential annual direct incident radiation and heat load. J. Veg. Sci. 13, 603–606. </w:t>
      </w:r>
      <w:hyperlink r:id="rId82">
        <w:r w:rsidRPr="007F00C7">
          <w:rPr>
            <w:color w:val="4F81BD"/>
          </w:rPr>
          <w:t>https://doi.org/10.1111/j.1654-1103.2002.tb02087.x</w:t>
        </w:r>
      </w:hyperlink>
    </w:p>
    <w:p w14:paraId="000001B4" w14:textId="77777777" w:rsidR="001527B5" w:rsidRPr="007F00C7" w:rsidRDefault="00000000">
      <w:pPr>
        <w:pBdr>
          <w:top w:val="nil"/>
          <w:left w:val="nil"/>
          <w:bottom w:val="nil"/>
          <w:right w:val="nil"/>
          <w:between w:val="nil"/>
        </w:pBdr>
        <w:spacing w:before="180" w:after="0"/>
        <w:ind w:left="720" w:hanging="720"/>
        <w:rPr>
          <w:color w:val="000000"/>
        </w:rPr>
      </w:pPr>
      <w:bookmarkStart w:id="105" w:name="bookmark=id.1d96cc0" w:colFirst="0" w:colLast="0"/>
      <w:bookmarkEnd w:id="105"/>
      <w:r w:rsidRPr="007F00C7">
        <w:rPr>
          <w:color w:val="000000"/>
        </w:rPr>
        <w:t xml:space="preserve">McDowell, N.G., Allen, C.D., 2015. Darcy’s law predicts widespread forest mortality under climate warming. Nature </w:t>
      </w:r>
      <w:proofErr w:type="spellStart"/>
      <w:r w:rsidRPr="007F00C7">
        <w:rPr>
          <w:color w:val="000000"/>
        </w:rPr>
        <w:t>Clim</w:t>
      </w:r>
      <w:proofErr w:type="spellEnd"/>
      <w:r w:rsidRPr="007F00C7">
        <w:rPr>
          <w:color w:val="000000"/>
        </w:rPr>
        <w:t xml:space="preserve">. Change 5, 669–672. </w:t>
      </w:r>
      <w:hyperlink r:id="rId83">
        <w:r w:rsidRPr="007F00C7">
          <w:rPr>
            <w:color w:val="4F81BD"/>
          </w:rPr>
          <w:t>https://doi.org/10.1038/nclimate2641</w:t>
        </w:r>
      </w:hyperlink>
    </w:p>
    <w:p w14:paraId="000001B6" w14:textId="77777777" w:rsidR="001527B5" w:rsidRPr="007F00C7" w:rsidRDefault="00000000">
      <w:pPr>
        <w:pBdr>
          <w:top w:val="nil"/>
          <w:left w:val="nil"/>
          <w:bottom w:val="nil"/>
          <w:right w:val="nil"/>
          <w:between w:val="nil"/>
        </w:pBdr>
        <w:spacing w:before="180" w:after="0"/>
        <w:ind w:left="720" w:hanging="720"/>
        <w:rPr>
          <w:color w:val="000000"/>
        </w:rPr>
      </w:pPr>
      <w:bookmarkStart w:id="106" w:name="bookmark=id.3x8tuzt" w:colFirst="0" w:colLast="0"/>
      <w:bookmarkStart w:id="107" w:name="bookmark=id.2ce457m" w:colFirst="0" w:colLast="0"/>
      <w:bookmarkEnd w:id="106"/>
      <w:bookmarkEnd w:id="107"/>
      <w:r w:rsidRPr="007F00C7">
        <w:rPr>
          <w:color w:val="000000"/>
        </w:rPr>
        <w:t xml:space="preserve">McNab, W.H., 1993. A topographic index to quantify the effect of mesoscale landform on site productivity. Can. J. For. Res. 23, 1100–1107. </w:t>
      </w:r>
      <w:hyperlink r:id="rId84">
        <w:r w:rsidRPr="007F00C7">
          <w:rPr>
            <w:color w:val="4F81BD"/>
          </w:rPr>
          <w:t>https://doi.org/10.1139/x93-140</w:t>
        </w:r>
      </w:hyperlink>
    </w:p>
    <w:p w14:paraId="000001B7" w14:textId="77777777" w:rsidR="001527B5" w:rsidRPr="007F00C7" w:rsidRDefault="00000000">
      <w:pPr>
        <w:pBdr>
          <w:top w:val="nil"/>
          <w:left w:val="nil"/>
          <w:bottom w:val="nil"/>
          <w:right w:val="nil"/>
          <w:between w:val="nil"/>
        </w:pBdr>
        <w:spacing w:before="180" w:after="0"/>
        <w:ind w:left="720" w:hanging="720"/>
      </w:pPr>
      <w:bookmarkStart w:id="108" w:name="bookmark=id.rjefff" w:colFirst="0" w:colLast="0"/>
      <w:bookmarkEnd w:id="108"/>
      <w:r w:rsidRPr="007F00C7">
        <w:rPr>
          <w:color w:val="000000"/>
        </w:rPr>
        <w:t xml:space="preserve">Meyer, M.D., North, M.P., Gray, A.N., </w:t>
      </w:r>
      <w:proofErr w:type="spellStart"/>
      <w:r w:rsidRPr="007F00C7">
        <w:rPr>
          <w:color w:val="000000"/>
        </w:rPr>
        <w:t>Zald</w:t>
      </w:r>
      <w:proofErr w:type="spellEnd"/>
      <w:r w:rsidRPr="007F00C7">
        <w:rPr>
          <w:color w:val="000000"/>
        </w:rPr>
        <w:t xml:space="preserve">, H.S.J., 2007. Influence of soil thickness on stand characteristics in a Sierra Nevada mixed-conifer forest. Plant Soil 294, 113–123. </w:t>
      </w:r>
      <w:hyperlink r:id="rId85">
        <w:r w:rsidRPr="007F00C7">
          <w:rPr>
            <w:color w:val="4F81BD"/>
          </w:rPr>
          <w:t>https://doi.org/10.1007/s11104-007-9235-3</w:t>
        </w:r>
      </w:hyperlink>
    </w:p>
    <w:p w14:paraId="000001B8" w14:textId="77777777" w:rsidR="001527B5" w:rsidRPr="007F00C7" w:rsidRDefault="00000000">
      <w:pPr>
        <w:pBdr>
          <w:top w:val="nil"/>
          <w:left w:val="nil"/>
          <w:bottom w:val="nil"/>
          <w:right w:val="nil"/>
          <w:between w:val="nil"/>
        </w:pBdr>
        <w:spacing w:before="180" w:after="0"/>
        <w:ind w:left="720" w:hanging="720"/>
      </w:pPr>
      <w:r w:rsidRPr="007F00C7">
        <w:t xml:space="preserve">Metcalfe, P., </w:t>
      </w:r>
      <w:proofErr w:type="spellStart"/>
      <w:r w:rsidRPr="007F00C7">
        <w:t>Beven</w:t>
      </w:r>
      <w:proofErr w:type="spellEnd"/>
      <w:r w:rsidRPr="007F00C7">
        <w:t xml:space="preserve">, K., Freer, J., 2018. </w:t>
      </w:r>
      <w:proofErr w:type="spellStart"/>
      <w:r w:rsidRPr="007F00C7">
        <w:t>dynatopmodel</w:t>
      </w:r>
      <w:proofErr w:type="spellEnd"/>
      <w:r w:rsidRPr="007F00C7">
        <w:t>: Implementation of the dynamic TOPMODEL hydrological model. R package v1.2.1, commit 0d7d074b022452f925c8de4271d4a843882ac84c. https://github.com/cran/dynatopmodel.</w:t>
      </w:r>
    </w:p>
    <w:p w14:paraId="000001BA" w14:textId="77777777" w:rsidR="001527B5" w:rsidRPr="007F00C7" w:rsidRDefault="00000000">
      <w:pPr>
        <w:pBdr>
          <w:top w:val="nil"/>
          <w:left w:val="nil"/>
          <w:bottom w:val="nil"/>
          <w:right w:val="nil"/>
          <w:between w:val="nil"/>
        </w:pBdr>
        <w:spacing w:before="180" w:after="0"/>
        <w:ind w:left="720" w:hanging="720"/>
        <w:rPr>
          <w:color w:val="000000"/>
        </w:rPr>
      </w:pPr>
      <w:bookmarkStart w:id="109" w:name="bookmark=id.3bj1y38" w:colFirst="0" w:colLast="0"/>
      <w:bookmarkStart w:id="110" w:name="bookmark=id.1qoc8b1" w:colFirst="0" w:colLast="0"/>
      <w:bookmarkEnd w:id="109"/>
      <w:bookmarkEnd w:id="110"/>
      <w:r w:rsidRPr="007F00C7">
        <w:rPr>
          <w:color w:val="000000"/>
        </w:rPr>
        <w:t xml:space="preserve">Moles, A.T., Warton, D.I., Warman, L., Swenson, N.G., Laffan, S.W., Zanne, A.E., Pitman, A., Hemmings, F.A., Leishman, M.R., 2009. Global patterns in plant height. J. Ecol. 97, 923–932. </w:t>
      </w:r>
      <w:hyperlink r:id="rId86">
        <w:r w:rsidRPr="007F00C7">
          <w:rPr>
            <w:color w:val="4F81BD"/>
          </w:rPr>
          <w:t>https://doi.org/10.1111/j.1365-2745.2009.01526.x</w:t>
        </w:r>
      </w:hyperlink>
    </w:p>
    <w:p w14:paraId="000001BB" w14:textId="77777777" w:rsidR="001527B5" w:rsidRPr="007F00C7" w:rsidRDefault="00000000">
      <w:pPr>
        <w:pBdr>
          <w:top w:val="nil"/>
          <w:left w:val="nil"/>
          <w:bottom w:val="nil"/>
          <w:right w:val="nil"/>
          <w:between w:val="nil"/>
        </w:pBdr>
        <w:spacing w:before="180" w:after="0"/>
        <w:ind w:left="720" w:hanging="720"/>
        <w:rPr>
          <w:color w:val="000000"/>
        </w:rPr>
      </w:pPr>
      <w:bookmarkStart w:id="111" w:name="bookmark=id.4anzqyu" w:colFirst="0" w:colLast="0"/>
      <w:bookmarkEnd w:id="111"/>
      <w:r w:rsidRPr="007F00C7">
        <w:rPr>
          <w:color w:val="000000"/>
        </w:rPr>
        <w:t xml:space="preserve">Monk, C.D., Day, F.P., 1988. Biomass, </w:t>
      </w:r>
      <w:r w:rsidRPr="007F00C7">
        <w:t>p</w:t>
      </w:r>
      <w:r w:rsidRPr="007F00C7">
        <w:rPr>
          <w:color w:val="000000"/>
        </w:rPr>
        <w:t xml:space="preserve">rimary </w:t>
      </w:r>
      <w:r w:rsidRPr="007F00C7">
        <w:t>p</w:t>
      </w:r>
      <w:r w:rsidRPr="007F00C7">
        <w:rPr>
          <w:color w:val="000000"/>
        </w:rPr>
        <w:t xml:space="preserve">roduction, and </w:t>
      </w:r>
      <w:r w:rsidRPr="007F00C7">
        <w:t>s</w:t>
      </w:r>
      <w:r w:rsidRPr="007F00C7">
        <w:rPr>
          <w:color w:val="000000"/>
        </w:rPr>
        <w:t xml:space="preserve">elected </w:t>
      </w:r>
      <w:r w:rsidRPr="007F00C7">
        <w:t>n</w:t>
      </w:r>
      <w:r w:rsidRPr="007F00C7">
        <w:rPr>
          <w:color w:val="000000"/>
        </w:rPr>
        <w:t xml:space="preserve">utrient </w:t>
      </w:r>
      <w:r w:rsidRPr="007F00C7">
        <w:t>b</w:t>
      </w:r>
      <w:r w:rsidRPr="007F00C7">
        <w:rPr>
          <w:color w:val="000000"/>
        </w:rPr>
        <w:t xml:space="preserve">udgets for an </w:t>
      </w:r>
      <w:r w:rsidRPr="007F00C7">
        <w:t>u</w:t>
      </w:r>
      <w:r w:rsidRPr="007F00C7">
        <w:rPr>
          <w:color w:val="000000"/>
        </w:rPr>
        <w:t xml:space="preserve">ndisturbed </w:t>
      </w:r>
      <w:r w:rsidRPr="007F00C7">
        <w:t>w</w:t>
      </w:r>
      <w:r w:rsidRPr="007F00C7">
        <w:rPr>
          <w:color w:val="000000"/>
        </w:rPr>
        <w:t xml:space="preserve">atershed, in: Billings, W.D., </w:t>
      </w:r>
      <w:proofErr w:type="spellStart"/>
      <w:r w:rsidRPr="007F00C7">
        <w:rPr>
          <w:color w:val="000000"/>
        </w:rPr>
        <w:t>Golley</w:t>
      </w:r>
      <w:proofErr w:type="spellEnd"/>
      <w:r w:rsidRPr="007F00C7">
        <w:rPr>
          <w:color w:val="000000"/>
        </w:rPr>
        <w:t xml:space="preserve">, F., Lange, O.L., Olson, J.S., </w:t>
      </w:r>
      <w:proofErr w:type="spellStart"/>
      <w:r w:rsidRPr="007F00C7">
        <w:rPr>
          <w:color w:val="000000"/>
        </w:rPr>
        <w:t>Remmert</w:t>
      </w:r>
      <w:proofErr w:type="spellEnd"/>
      <w:r w:rsidRPr="007F00C7">
        <w:rPr>
          <w:color w:val="000000"/>
        </w:rPr>
        <w:t xml:space="preserve">, H., Swank, W.T., Crossley, D.A. (Eds.), Forest </w:t>
      </w:r>
      <w:r w:rsidRPr="007F00C7">
        <w:t>h</w:t>
      </w:r>
      <w:r w:rsidRPr="007F00C7">
        <w:rPr>
          <w:color w:val="000000"/>
        </w:rPr>
        <w:t xml:space="preserve">ydrology and </w:t>
      </w:r>
      <w:r w:rsidRPr="007F00C7">
        <w:t>e</w:t>
      </w:r>
      <w:r w:rsidRPr="007F00C7">
        <w:rPr>
          <w:color w:val="000000"/>
        </w:rPr>
        <w:t xml:space="preserve">cology at </w:t>
      </w:r>
      <w:proofErr w:type="spellStart"/>
      <w:r w:rsidRPr="007F00C7">
        <w:rPr>
          <w:color w:val="000000"/>
        </w:rPr>
        <w:t>Coweeta</w:t>
      </w:r>
      <w:proofErr w:type="spellEnd"/>
      <w:r w:rsidRPr="007F00C7">
        <w:rPr>
          <w:color w:val="000000"/>
        </w:rPr>
        <w:t xml:space="preserve">. Springer New York, New York, NY, pp. 151–159. </w:t>
      </w:r>
      <w:hyperlink r:id="rId87">
        <w:r w:rsidRPr="007F00C7">
          <w:rPr>
            <w:color w:val="4F81BD"/>
          </w:rPr>
          <w:t>https://doi.org/10.1007/978-1-4612-3732-7_11</w:t>
        </w:r>
      </w:hyperlink>
    </w:p>
    <w:p w14:paraId="000001BC" w14:textId="77777777" w:rsidR="001527B5" w:rsidRPr="007F00C7" w:rsidRDefault="00000000">
      <w:pPr>
        <w:pBdr>
          <w:top w:val="nil"/>
          <w:left w:val="nil"/>
          <w:bottom w:val="nil"/>
          <w:right w:val="nil"/>
          <w:between w:val="nil"/>
        </w:pBdr>
        <w:spacing w:before="180" w:after="0"/>
        <w:ind w:left="720" w:hanging="720"/>
        <w:rPr>
          <w:color w:val="000000"/>
        </w:rPr>
      </w:pPr>
      <w:bookmarkStart w:id="112" w:name="bookmark=id.2pta16n" w:colFirst="0" w:colLast="0"/>
      <w:bookmarkEnd w:id="112"/>
      <w:r w:rsidRPr="007F00C7">
        <w:rPr>
          <w:color w:val="000000"/>
        </w:rPr>
        <w:lastRenderedPageBreak/>
        <w:t xml:space="preserve">Morin, X., </w:t>
      </w:r>
      <w:proofErr w:type="spellStart"/>
      <w:r w:rsidRPr="007F00C7">
        <w:rPr>
          <w:color w:val="000000"/>
        </w:rPr>
        <w:t>Augspurger</w:t>
      </w:r>
      <w:proofErr w:type="spellEnd"/>
      <w:r w:rsidRPr="007F00C7">
        <w:rPr>
          <w:color w:val="000000"/>
        </w:rPr>
        <w:t xml:space="preserve">, C., </w:t>
      </w:r>
      <w:proofErr w:type="spellStart"/>
      <w:r w:rsidRPr="007F00C7">
        <w:rPr>
          <w:color w:val="000000"/>
        </w:rPr>
        <w:t>Chuine</w:t>
      </w:r>
      <w:proofErr w:type="spellEnd"/>
      <w:r w:rsidRPr="007F00C7">
        <w:rPr>
          <w:color w:val="000000"/>
        </w:rPr>
        <w:t xml:space="preserve">, I., 2007. Process-based modeling of species’ distributions: What limits temperate tree species’ range boundaries? Ecology 88, 2280–2291. </w:t>
      </w:r>
      <w:hyperlink r:id="rId88">
        <w:r w:rsidRPr="007F00C7">
          <w:rPr>
            <w:color w:val="4F81BD"/>
          </w:rPr>
          <w:t>https://doi.org/10.1890/06-1591.1</w:t>
        </w:r>
      </w:hyperlink>
    </w:p>
    <w:p w14:paraId="000001BD" w14:textId="77777777" w:rsidR="001527B5" w:rsidRPr="007F00C7" w:rsidRDefault="00000000">
      <w:pPr>
        <w:pBdr>
          <w:top w:val="nil"/>
          <w:left w:val="nil"/>
          <w:bottom w:val="nil"/>
          <w:right w:val="nil"/>
          <w:between w:val="nil"/>
        </w:pBdr>
        <w:spacing w:before="180" w:after="0"/>
        <w:ind w:left="720" w:hanging="720"/>
        <w:rPr>
          <w:color w:val="000000"/>
        </w:rPr>
      </w:pPr>
      <w:bookmarkStart w:id="113" w:name="bookmark=id.14ykbeg" w:colFirst="0" w:colLast="0"/>
      <w:bookmarkEnd w:id="113"/>
      <w:proofErr w:type="spellStart"/>
      <w:r w:rsidRPr="007F00C7">
        <w:rPr>
          <w:color w:val="000000"/>
        </w:rPr>
        <w:t>Nardini</w:t>
      </w:r>
      <w:proofErr w:type="spellEnd"/>
      <w:r w:rsidRPr="007F00C7">
        <w:rPr>
          <w:color w:val="000000"/>
        </w:rPr>
        <w:t xml:space="preserve">, A., </w:t>
      </w:r>
      <w:proofErr w:type="spellStart"/>
      <w:r w:rsidRPr="007F00C7">
        <w:rPr>
          <w:color w:val="000000"/>
        </w:rPr>
        <w:t>Tomasella</w:t>
      </w:r>
      <w:proofErr w:type="spellEnd"/>
      <w:r w:rsidRPr="007F00C7">
        <w:rPr>
          <w:color w:val="000000"/>
        </w:rPr>
        <w:t xml:space="preserve">, M., Di Bert, S., 2024. Bedrock: The hidden water reservoir for trees challenged by drought. Trees 38, 1–11. </w:t>
      </w:r>
      <w:hyperlink r:id="rId89">
        <w:r w:rsidRPr="007F00C7">
          <w:rPr>
            <w:color w:val="4F81BD"/>
          </w:rPr>
          <w:t>https://doi.org/10.1007/s00468-023-02482-6</w:t>
        </w:r>
      </w:hyperlink>
    </w:p>
    <w:p w14:paraId="000001BE" w14:textId="77777777" w:rsidR="001527B5" w:rsidRPr="007F00C7" w:rsidRDefault="00000000">
      <w:pPr>
        <w:pBdr>
          <w:top w:val="nil"/>
          <w:left w:val="nil"/>
          <w:bottom w:val="nil"/>
          <w:right w:val="nil"/>
          <w:between w:val="nil"/>
        </w:pBdr>
        <w:spacing w:before="180" w:after="0"/>
        <w:ind w:left="720" w:hanging="720"/>
        <w:rPr>
          <w:color w:val="000000"/>
        </w:rPr>
      </w:pPr>
      <w:bookmarkStart w:id="114" w:name="bookmark=id.3oy7u29" w:colFirst="0" w:colLast="0"/>
      <w:bookmarkEnd w:id="114"/>
      <w:r w:rsidRPr="007F00C7">
        <w:rPr>
          <w:color w:val="000000"/>
        </w:rPr>
        <w:t xml:space="preserve">Painter, T.H., </w:t>
      </w:r>
      <w:proofErr w:type="spellStart"/>
      <w:r w:rsidRPr="007F00C7">
        <w:rPr>
          <w:color w:val="000000"/>
        </w:rPr>
        <w:t>Berisford</w:t>
      </w:r>
      <w:proofErr w:type="spellEnd"/>
      <w:r w:rsidRPr="007F00C7">
        <w:rPr>
          <w:color w:val="000000"/>
        </w:rPr>
        <w:t xml:space="preserve">, D.F., Boardman, J.W., Bormann, K.J., Deems, J.S., </w:t>
      </w:r>
      <w:proofErr w:type="spellStart"/>
      <w:r w:rsidRPr="007F00C7">
        <w:rPr>
          <w:color w:val="000000"/>
        </w:rPr>
        <w:t>Gehrke</w:t>
      </w:r>
      <w:proofErr w:type="spellEnd"/>
      <w:r w:rsidRPr="007F00C7">
        <w:rPr>
          <w:color w:val="000000"/>
        </w:rPr>
        <w:t xml:space="preserve">, F., Hedrick, A., Joyce, M., Laidlaw, R., Marks, D., </w:t>
      </w:r>
      <w:proofErr w:type="spellStart"/>
      <w:r w:rsidRPr="007F00C7">
        <w:rPr>
          <w:color w:val="000000"/>
        </w:rPr>
        <w:t>Mattmann</w:t>
      </w:r>
      <w:proofErr w:type="spellEnd"/>
      <w:r w:rsidRPr="007F00C7">
        <w:rPr>
          <w:color w:val="000000"/>
        </w:rPr>
        <w:t xml:space="preserve">, C., McGurk, B., Ramirez, P., Richardson, M., Skiles, S.M., 2018. ASO L4 lidar snow water equivalent 50m UTM grid, </w:t>
      </w:r>
      <w:r w:rsidRPr="007F00C7">
        <w:t>version 1 [dataset]</w:t>
      </w:r>
      <w:r w:rsidRPr="007F00C7">
        <w:rPr>
          <w:color w:val="000000"/>
        </w:rPr>
        <w:t xml:space="preserve">. </w:t>
      </w:r>
      <w:r w:rsidRPr="007F00C7">
        <w:t>NSIDC v1.</w:t>
      </w:r>
      <w:r w:rsidRPr="007F00C7">
        <w:rPr>
          <w:color w:val="000000"/>
        </w:rPr>
        <w:t xml:space="preserve"> </w:t>
      </w:r>
      <w:hyperlink r:id="rId90">
        <w:r w:rsidRPr="007F00C7">
          <w:rPr>
            <w:color w:val="4F81BD"/>
          </w:rPr>
          <w:t>https://doi.org/10.5067/M4TUH28NHL4Z</w:t>
        </w:r>
      </w:hyperlink>
    </w:p>
    <w:p w14:paraId="000001BF" w14:textId="77777777" w:rsidR="001527B5" w:rsidRPr="007F00C7" w:rsidRDefault="00000000">
      <w:pPr>
        <w:pBdr>
          <w:top w:val="nil"/>
          <w:left w:val="nil"/>
          <w:bottom w:val="nil"/>
          <w:right w:val="nil"/>
          <w:between w:val="nil"/>
        </w:pBdr>
        <w:spacing w:before="180" w:after="0"/>
        <w:ind w:left="720" w:hanging="720"/>
        <w:rPr>
          <w:color w:val="000000"/>
        </w:rPr>
      </w:pPr>
      <w:bookmarkStart w:id="115" w:name="bookmark=id.243i4a2" w:colFirst="0" w:colLast="0"/>
      <w:bookmarkEnd w:id="115"/>
      <w:r w:rsidRPr="007F00C7">
        <w:rPr>
          <w:color w:val="000000"/>
        </w:rPr>
        <w:t xml:space="preserve">Painter, T.H., </w:t>
      </w:r>
      <w:proofErr w:type="spellStart"/>
      <w:r w:rsidRPr="007F00C7">
        <w:rPr>
          <w:color w:val="000000"/>
        </w:rPr>
        <w:t>Berisford</w:t>
      </w:r>
      <w:proofErr w:type="spellEnd"/>
      <w:r w:rsidRPr="007F00C7">
        <w:rPr>
          <w:color w:val="000000"/>
        </w:rPr>
        <w:t xml:space="preserve">, D.F., Boardman, J.W., Bormann, K.J., Deems, J.S., </w:t>
      </w:r>
      <w:proofErr w:type="spellStart"/>
      <w:r w:rsidRPr="007F00C7">
        <w:rPr>
          <w:color w:val="000000"/>
        </w:rPr>
        <w:t>Gehrke</w:t>
      </w:r>
      <w:proofErr w:type="spellEnd"/>
      <w:r w:rsidRPr="007F00C7">
        <w:rPr>
          <w:color w:val="000000"/>
        </w:rPr>
        <w:t xml:space="preserve">, F., Hedrick, A., Joyce, M., Laidlaw, R., Marks, D., </w:t>
      </w:r>
      <w:proofErr w:type="spellStart"/>
      <w:r w:rsidRPr="007F00C7">
        <w:rPr>
          <w:color w:val="000000"/>
        </w:rPr>
        <w:t>Mattmann</w:t>
      </w:r>
      <w:proofErr w:type="spellEnd"/>
      <w:r w:rsidRPr="007F00C7">
        <w:rPr>
          <w:color w:val="000000"/>
        </w:rPr>
        <w:t xml:space="preserve">, C., McGurk, B., Ramirez, P., Richardson, M., Skiles, S.M.K., Seidel, F.C., </w:t>
      </w:r>
      <w:proofErr w:type="spellStart"/>
      <w:r w:rsidRPr="007F00C7">
        <w:rPr>
          <w:color w:val="000000"/>
        </w:rPr>
        <w:t>Winstral</w:t>
      </w:r>
      <w:proofErr w:type="spellEnd"/>
      <w:r w:rsidRPr="007F00C7">
        <w:rPr>
          <w:color w:val="000000"/>
        </w:rPr>
        <w:t xml:space="preserve">, A., 2016. The Airborne Snow Observatory: Fusion of scanning lidar, imaging spectrometer, and </w:t>
      </w:r>
      <w:proofErr w:type="gramStart"/>
      <w:r w:rsidRPr="007F00C7">
        <w:rPr>
          <w:color w:val="000000"/>
        </w:rPr>
        <w:t>physically-based</w:t>
      </w:r>
      <w:proofErr w:type="gramEnd"/>
      <w:r w:rsidRPr="007F00C7">
        <w:rPr>
          <w:color w:val="000000"/>
        </w:rPr>
        <w:t xml:space="preserve"> modeling for mapping snow water equivalent and snow albedo. Remote Sens. Environ. 184, 139–152. </w:t>
      </w:r>
      <w:hyperlink r:id="rId91">
        <w:r w:rsidRPr="007F00C7">
          <w:rPr>
            <w:color w:val="4F81BD"/>
          </w:rPr>
          <w:t>https://doi.org/10.1016/j.rse.2016.06.018</w:t>
        </w:r>
      </w:hyperlink>
    </w:p>
    <w:p w14:paraId="000001C0" w14:textId="77777777" w:rsidR="001527B5" w:rsidRPr="007F00C7" w:rsidRDefault="00000000">
      <w:pPr>
        <w:pBdr>
          <w:top w:val="nil"/>
          <w:left w:val="nil"/>
          <w:bottom w:val="nil"/>
          <w:right w:val="nil"/>
          <w:between w:val="nil"/>
        </w:pBdr>
        <w:spacing w:before="180" w:after="0"/>
        <w:ind w:left="720" w:hanging="720"/>
        <w:rPr>
          <w:color w:val="000000"/>
        </w:rPr>
      </w:pPr>
      <w:bookmarkStart w:id="116" w:name="bookmark=id.j8sehv" w:colFirst="0" w:colLast="0"/>
      <w:bookmarkEnd w:id="116"/>
      <w:r w:rsidRPr="007F00C7">
        <w:rPr>
          <w:color w:val="000000"/>
        </w:rPr>
        <w:t xml:space="preserve">Pang, Y., Wang, W., Du, L., Zhang, Z., Liang, X., Li, Y., Wang, Z., 2021. </w:t>
      </w:r>
      <w:proofErr w:type="spellStart"/>
      <w:r w:rsidRPr="007F00C7">
        <w:rPr>
          <w:color w:val="000000"/>
        </w:rPr>
        <w:t>Nyström</w:t>
      </w:r>
      <w:proofErr w:type="spellEnd"/>
      <w:r w:rsidRPr="007F00C7">
        <w:rPr>
          <w:color w:val="000000"/>
        </w:rPr>
        <w:t xml:space="preserve">-based spectral clustering using airborne LiDAR point cloud data for individual tree segmentation. Int. J. Digit. Earth 14, 1452–1476. </w:t>
      </w:r>
      <w:hyperlink r:id="rId92">
        <w:r w:rsidRPr="007F00C7">
          <w:rPr>
            <w:color w:val="4F81BD"/>
          </w:rPr>
          <w:t>https://doi.org/10.1080/17538947.2021.1943018</w:t>
        </w:r>
      </w:hyperlink>
    </w:p>
    <w:p w14:paraId="000001C1" w14:textId="77777777" w:rsidR="001527B5" w:rsidRPr="007F00C7" w:rsidRDefault="00000000">
      <w:pPr>
        <w:pBdr>
          <w:top w:val="nil"/>
          <w:left w:val="nil"/>
          <w:bottom w:val="nil"/>
          <w:right w:val="nil"/>
          <w:between w:val="nil"/>
        </w:pBdr>
        <w:spacing w:before="180" w:after="0"/>
        <w:ind w:left="720" w:hanging="720"/>
        <w:rPr>
          <w:color w:val="000000"/>
        </w:rPr>
      </w:pPr>
      <w:bookmarkStart w:id="117" w:name="bookmark=id.338fx5o" w:colFirst="0" w:colLast="0"/>
      <w:bookmarkEnd w:id="117"/>
      <w:r w:rsidRPr="007F00C7">
        <w:rPr>
          <w:color w:val="000000"/>
        </w:rPr>
        <w:t xml:space="preserve">Parker, A.J., Peet, R.K., 1984. Size and </w:t>
      </w:r>
      <w:r w:rsidRPr="007F00C7">
        <w:t>a</w:t>
      </w:r>
      <w:r w:rsidRPr="007F00C7">
        <w:rPr>
          <w:color w:val="000000"/>
        </w:rPr>
        <w:t xml:space="preserve">ge </w:t>
      </w:r>
      <w:r w:rsidRPr="007F00C7">
        <w:t>s</w:t>
      </w:r>
      <w:r w:rsidRPr="007F00C7">
        <w:rPr>
          <w:color w:val="000000"/>
        </w:rPr>
        <w:t xml:space="preserve">tructure of </w:t>
      </w:r>
      <w:r w:rsidRPr="007F00C7">
        <w:t>conifer</w:t>
      </w:r>
      <w:r w:rsidRPr="007F00C7">
        <w:rPr>
          <w:color w:val="000000"/>
        </w:rPr>
        <w:t xml:space="preserve"> </w:t>
      </w:r>
      <w:r w:rsidRPr="007F00C7">
        <w:t>f</w:t>
      </w:r>
      <w:r w:rsidRPr="007F00C7">
        <w:rPr>
          <w:color w:val="000000"/>
        </w:rPr>
        <w:t xml:space="preserve">orests. Ecology 65, 1685–1689. </w:t>
      </w:r>
      <w:hyperlink r:id="rId93">
        <w:r w:rsidRPr="007F00C7">
          <w:rPr>
            <w:color w:val="4F81BD"/>
          </w:rPr>
          <w:t>https://doi.org/10.2307/1939148</w:t>
        </w:r>
      </w:hyperlink>
    </w:p>
    <w:p w14:paraId="000001C2" w14:textId="77777777" w:rsidR="001527B5" w:rsidRPr="007F00C7" w:rsidRDefault="00000000">
      <w:pPr>
        <w:pBdr>
          <w:top w:val="nil"/>
          <w:left w:val="nil"/>
          <w:bottom w:val="nil"/>
          <w:right w:val="nil"/>
          <w:between w:val="nil"/>
        </w:pBdr>
        <w:spacing w:before="180" w:after="0"/>
        <w:ind w:left="720" w:hanging="720"/>
        <w:rPr>
          <w:color w:val="000000"/>
        </w:rPr>
      </w:pPr>
      <w:bookmarkStart w:id="118" w:name="bookmark=id.1idq7dh" w:colFirst="0" w:colLast="0"/>
      <w:bookmarkEnd w:id="118"/>
      <w:r w:rsidRPr="007F00C7">
        <w:rPr>
          <w:color w:val="000000"/>
        </w:rPr>
        <w:t xml:space="preserve">Peet, R.K., 1978b. Forest vegetation of the Colorado Front Range: Patterns of species diversity. </w:t>
      </w:r>
      <w:proofErr w:type="spellStart"/>
      <w:r w:rsidRPr="007F00C7">
        <w:rPr>
          <w:color w:val="000000"/>
        </w:rPr>
        <w:t>Vegetatio</w:t>
      </w:r>
      <w:proofErr w:type="spellEnd"/>
      <w:r w:rsidRPr="007F00C7">
        <w:rPr>
          <w:color w:val="000000"/>
        </w:rPr>
        <w:t xml:space="preserve"> 37, 65–78. </w:t>
      </w:r>
      <w:hyperlink r:id="rId94">
        <w:r w:rsidRPr="007F00C7">
          <w:rPr>
            <w:color w:val="4F81BD"/>
          </w:rPr>
          <w:t>https://doi.org/10.1007/BF00126830</w:t>
        </w:r>
      </w:hyperlink>
    </w:p>
    <w:p w14:paraId="000001C3" w14:textId="77777777" w:rsidR="001527B5" w:rsidRPr="007F00C7" w:rsidRDefault="00000000">
      <w:pPr>
        <w:pBdr>
          <w:top w:val="nil"/>
          <w:left w:val="nil"/>
          <w:bottom w:val="nil"/>
          <w:right w:val="nil"/>
          <w:between w:val="nil"/>
        </w:pBdr>
        <w:spacing w:before="180" w:after="0"/>
        <w:ind w:left="720" w:hanging="720"/>
        <w:rPr>
          <w:color w:val="000000"/>
        </w:rPr>
      </w:pPr>
      <w:bookmarkStart w:id="119" w:name="bookmark=id.42ddq1a" w:colFirst="0" w:colLast="0"/>
      <w:bookmarkEnd w:id="119"/>
      <w:r w:rsidRPr="007F00C7">
        <w:rPr>
          <w:color w:val="000000"/>
        </w:rPr>
        <w:t xml:space="preserve">Peet, R.K., 1978a. Latitudinal </w:t>
      </w:r>
      <w:r w:rsidRPr="007F00C7">
        <w:t>v</w:t>
      </w:r>
      <w:r w:rsidRPr="007F00C7">
        <w:rPr>
          <w:color w:val="000000"/>
        </w:rPr>
        <w:t>ariation in Southern Rocky Mountain</w:t>
      </w:r>
      <w:r w:rsidRPr="007F00C7">
        <w:t xml:space="preserve"> f</w:t>
      </w:r>
      <w:r w:rsidRPr="007F00C7">
        <w:rPr>
          <w:color w:val="000000"/>
        </w:rPr>
        <w:t xml:space="preserve">orests. Journal of Biogeography 5, 275. </w:t>
      </w:r>
      <w:hyperlink r:id="rId95">
        <w:r w:rsidRPr="007F00C7">
          <w:rPr>
            <w:color w:val="4F81BD"/>
          </w:rPr>
          <w:t>https://doi.org/10.2307/3038041</w:t>
        </w:r>
      </w:hyperlink>
    </w:p>
    <w:p w14:paraId="000001C4" w14:textId="77777777" w:rsidR="001527B5" w:rsidRPr="007F00C7" w:rsidRDefault="00000000">
      <w:pPr>
        <w:pBdr>
          <w:top w:val="nil"/>
          <w:left w:val="nil"/>
          <w:bottom w:val="nil"/>
          <w:right w:val="nil"/>
          <w:between w:val="nil"/>
        </w:pBdr>
        <w:spacing w:before="180" w:after="0"/>
        <w:ind w:left="720" w:hanging="720"/>
        <w:rPr>
          <w:color w:val="000000"/>
        </w:rPr>
      </w:pPr>
      <w:bookmarkStart w:id="120" w:name="bookmark=id.2hio093" w:colFirst="0" w:colLast="0"/>
      <w:bookmarkEnd w:id="120"/>
      <w:r w:rsidRPr="007F00C7">
        <w:rPr>
          <w:color w:val="000000"/>
        </w:rPr>
        <w:t xml:space="preserve">Pelletier, J.D., Barron-Gafford, G.A., Gutiérrez-Jurado, H., Hinckley, E.-L.S., </w:t>
      </w:r>
      <w:proofErr w:type="spellStart"/>
      <w:r w:rsidRPr="007F00C7">
        <w:rPr>
          <w:color w:val="000000"/>
        </w:rPr>
        <w:t>Istanbulluoglu</w:t>
      </w:r>
      <w:proofErr w:type="spellEnd"/>
      <w:r w:rsidRPr="007F00C7">
        <w:rPr>
          <w:color w:val="000000"/>
        </w:rPr>
        <w:t xml:space="preserve">, E., McGuire, L.A., </w:t>
      </w:r>
      <w:proofErr w:type="spellStart"/>
      <w:r w:rsidRPr="007F00C7">
        <w:rPr>
          <w:color w:val="000000"/>
        </w:rPr>
        <w:t>Niu</w:t>
      </w:r>
      <w:proofErr w:type="spellEnd"/>
      <w:r w:rsidRPr="007F00C7">
        <w:rPr>
          <w:color w:val="000000"/>
        </w:rPr>
        <w:t xml:space="preserve">, G.-Y., Poulos, M.J., Rasmussen, C., Richardson, P., </w:t>
      </w:r>
      <w:proofErr w:type="spellStart"/>
      <w:r w:rsidRPr="007F00C7">
        <w:rPr>
          <w:color w:val="000000"/>
        </w:rPr>
        <w:t>Swetnam</w:t>
      </w:r>
      <w:proofErr w:type="spellEnd"/>
      <w:r w:rsidRPr="007F00C7">
        <w:rPr>
          <w:color w:val="000000"/>
        </w:rPr>
        <w:t xml:space="preserve">, T.L., Tucker, G.E., 2018. Which way do you lean? Using slope aspect variations to understand Critical Zone processes and </w:t>
      </w:r>
      <w:proofErr w:type="gramStart"/>
      <w:r w:rsidRPr="007F00C7">
        <w:rPr>
          <w:color w:val="000000"/>
        </w:rPr>
        <w:t>feedbacks</w:t>
      </w:r>
      <w:proofErr w:type="gramEnd"/>
      <w:r w:rsidRPr="007F00C7">
        <w:rPr>
          <w:color w:val="000000"/>
        </w:rPr>
        <w:t xml:space="preserve">. Earth Surf. Process. </w:t>
      </w:r>
      <w:proofErr w:type="spellStart"/>
      <w:r w:rsidRPr="007F00C7">
        <w:rPr>
          <w:color w:val="000000"/>
        </w:rPr>
        <w:t>Landf</w:t>
      </w:r>
      <w:proofErr w:type="spellEnd"/>
      <w:r w:rsidRPr="007F00C7">
        <w:rPr>
          <w:color w:val="000000"/>
        </w:rPr>
        <w:t xml:space="preserve">. 43, 1133–1154. </w:t>
      </w:r>
      <w:hyperlink r:id="rId96">
        <w:r w:rsidRPr="007F00C7">
          <w:rPr>
            <w:color w:val="4F81BD"/>
          </w:rPr>
          <w:t>https://doi.org/10.1002/esp.4306</w:t>
        </w:r>
      </w:hyperlink>
    </w:p>
    <w:p w14:paraId="000001C5" w14:textId="77777777" w:rsidR="001527B5" w:rsidRPr="007F00C7" w:rsidRDefault="00000000">
      <w:pPr>
        <w:pBdr>
          <w:top w:val="nil"/>
          <w:left w:val="nil"/>
          <w:bottom w:val="nil"/>
          <w:right w:val="nil"/>
          <w:between w:val="nil"/>
        </w:pBdr>
        <w:spacing w:before="180" w:after="0"/>
        <w:ind w:left="720" w:hanging="720"/>
        <w:rPr>
          <w:color w:val="000000"/>
        </w:rPr>
      </w:pPr>
      <w:bookmarkStart w:id="121" w:name="bookmark=id.wnyagw" w:colFirst="0" w:colLast="0"/>
      <w:bookmarkEnd w:id="121"/>
      <w:r w:rsidRPr="007F00C7">
        <w:rPr>
          <w:color w:val="000000"/>
        </w:rPr>
        <w:t xml:space="preserve">Peters, R.L., </w:t>
      </w:r>
      <w:proofErr w:type="spellStart"/>
      <w:r w:rsidRPr="007F00C7">
        <w:rPr>
          <w:color w:val="000000"/>
        </w:rPr>
        <w:t>Speich</w:t>
      </w:r>
      <w:proofErr w:type="spellEnd"/>
      <w:r w:rsidRPr="007F00C7">
        <w:rPr>
          <w:color w:val="000000"/>
        </w:rPr>
        <w:t xml:space="preserve">, M., Pappas, C., </w:t>
      </w:r>
      <w:proofErr w:type="spellStart"/>
      <w:r w:rsidRPr="007F00C7">
        <w:rPr>
          <w:color w:val="000000"/>
        </w:rPr>
        <w:t>Kahmen</w:t>
      </w:r>
      <w:proofErr w:type="spellEnd"/>
      <w:r w:rsidRPr="007F00C7">
        <w:rPr>
          <w:color w:val="000000"/>
        </w:rPr>
        <w:t xml:space="preserve">, A., Von </w:t>
      </w:r>
      <w:proofErr w:type="spellStart"/>
      <w:r w:rsidRPr="007F00C7">
        <w:rPr>
          <w:color w:val="000000"/>
        </w:rPr>
        <w:t>Arx</w:t>
      </w:r>
      <w:proofErr w:type="spellEnd"/>
      <w:r w:rsidRPr="007F00C7">
        <w:rPr>
          <w:color w:val="000000"/>
        </w:rPr>
        <w:t xml:space="preserve">, G., Graf </w:t>
      </w:r>
      <w:proofErr w:type="spellStart"/>
      <w:r w:rsidRPr="007F00C7">
        <w:rPr>
          <w:color w:val="000000"/>
        </w:rPr>
        <w:t>Pannatier</w:t>
      </w:r>
      <w:proofErr w:type="spellEnd"/>
      <w:r w:rsidRPr="007F00C7">
        <w:rPr>
          <w:color w:val="000000"/>
        </w:rPr>
        <w:t xml:space="preserve">, E., Steppe, K., </w:t>
      </w:r>
      <w:proofErr w:type="spellStart"/>
      <w:r w:rsidRPr="007F00C7">
        <w:rPr>
          <w:color w:val="000000"/>
        </w:rPr>
        <w:t>Treydte</w:t>
      </w:r>
      <w:proofErr w:type="spellEnd"/>
      <w:r w:rsidRPr="007F00C7">
        <w:rPr>
          <w:color w:val="000000"/>
        </w:rPr>
        <w:t xml:space="preserve">, K., </w:t>
      </w:r>
      <w:proofErr w:type="spellStart"/>
      <w:r w:rsidRPr="007F00C7">
        <w:rPr>
          <w:color w:val="000000"/>
        </w:rPr>
        <w:t>Stritih</w:t>
      </w:r>
      <w:proofErr w:type="spellEnd"/>
      <w:r w:rsidRPr="007F00C7">
        <w:rPr>
          <w:color w:val="000000"/>
        </w:rPr>
        <w:t xml:space="preserve">, A., Fonti, P., 2019. Contrasting stomatal sensitivity to temperature and soil drought in mature alpine conifers. Plant Cell Environ. 42, 1674–1689. </w:t>
      </w:r>
      <w:hyperlink r:id="rId97">
        <w:r w:rsidRPr="007F00C7">
          <w:rPr>
            <w:color w:val="4F81BD"/>
          </w:rPr>
          <w:t>https://doi.org/10.1111/pce.13500</w:t>
        </w:r>
      </w:hyperlink>
    </w:p>
    <w:p w14:paraId="000001C6" w14:textId="77777777" w:rsidR="001527B5" w:rsidRPr="007F00C7" w:rsidRDefault="00000000">
      <w:pPr>
        <w:pBdr>
          <w:top w:val="nil"/>
          <w:left w:val="nil"/>
          <w:bottom w:val="nil"/>
          <w:right w:val="nil"/>
          <w:between w:val="nil"/>
        </w:pBdr>
        <w:spacing w:before="180" w:after="0"/>
        <w:ind w:left="720" w:hanging="720"/>
        <w:rPr>
          <w:color w:val="000000"/>
        </w:rPr>
      </w:pPr>
      <w:bookmarkStart w:id="122" w:name="bookmark=id.3gnlt4p" w:colFirst="0" w:colLast="0"/>
      <w:bookmarkEnd w:id="122"/>
      <w:r w:rsidRPr="007F00C7">
        <w:rPr>
          <w:color w:val="000000"/>
        </w:rPr>
        <w:t xml:space="preserve">Plourde, L.C., </w:t>
      </w:r>
      <w:proofErr w:type="spellStart"/>
      <w:r w:rsidRPr="007F00C7">
        <w:rPr>
          <w:color w:val="000000"/>
        </w:rPr>
        <w:t>Ollinger</w:t>
      </w:r>
      <w:proofErr w:type="spellEnd"/>
      <w:r w:rsidRPr="007F00C7">
        <w:rPr>
          <w:color w:val="000000"/>
        </w:rPr>
        <w:t xml:space="preserve">, S.V., Smith, M.-L., Martin, M.E., 2007. Estimating </w:t>
      </w:r>
      <w:r w:rsidRPr="007F00C7">
        <w:t>s</w:t>
      </w:r>
      <w:r w:rsidRPr="007F00C7">
        <w:rPr>
          <w:color w:val="000000"/>
        </w:rPr>
        <w:t xml:space="preserve">pecies </w:t>
      </w:r>
      <w:r w:rsidRPr="007F00C7">
        <w:t>a</w:t>
      </w:r>
      <w:r w:rsidRPr="007F00C7">
        <w:rPr>
          <w:color w:val="000000"/>
        </w:rPr>
        <w:t xml:space="preserve">bundance in a </w:t>
      </w:r>
      <w:r w:rsidRPr="007F00C7">
        <w:t>n</w:t>
      </w:r>
      <w:r w:rsidRPr="007F00C7">
        <w:rPr>
          <w:color w:val="000000"/>
        </w:rPr>
        <w:t xml:space="preserve">orthern </w:t>
      </w:r>
      <w:r w:rsidRPr="007F00C7">
        <w:t>t</w:t>
      </w:r>
      <w:r w:rsidRPr="007F00C7">
        <w:rPr>
          <w:color w:val="000000"/>
        </w:rPr>
        <w:t xml:space="preserve">emperate </w:t>
      </w:r>
      <w:r w:rsidRPr="007F00C7">
        <w:t>f</w:t>
      </w:r>
      <w:r w:rsidRPr="007F00C7">
        <w:rPr>
          <w:color w:val="000000"/>
        </w:rPr>
        <w:t xml:space="preserve">orest </w:t>
      </w:r>
      <w:r w:rsidRPr="007F00C7">
        <w:t>u</w:t>
      </w:r>
      <w:r w:rsidRPr="007F00C7">
        <w:rPr>
          <w:color w:val="000000"/>
        </w:rPr>
        <w:t xml:space="preserve">sing </w:t>
      </w:r>
      <w:r w:rsidRPr="007F00C7">
        <w:t>s</w:t>
      </w:r>
      <w:r w:rsidRPr="007F00C7">
        <w:rPr>
          <w:color w:val="000000"/>
        </w:rPr>
        <w:t xml:space="preserve">pectral </w:t>
      </w:r>
      <w:r w:rsidRPr="007F00C7">
        <w:t>m</w:t>
      </w:r>
      <w:r w:rsidRPr="007F00C7">
        <w:rPr>
          <w:color w:val="000000"/>
        </w:rPr>
        <w:t xml:space="preserve">ixture </w:t>
      </w:r>
      <w:r w:rsidRPr="007F00C7">
        <w:t>a</w:t>
      </w:r>
      <w:r w:rsidRPr="007F00C7">
        <w:rPr>
          <w:color w:val="000000"/>
        </w:rPr>
        <w:t xml:space="preserve">nalysis. </w:t>
      </w:r>
      <w:proofErr w:type="spellStart"/>
      <w:r w:rsidRPr="007F00C7">
        <w:rPr>
          <w:color w:val="000000"/>
        </w:rPr>
        <w:t>Photogramm</w:t>
      </w:r>
      <w:proofErr w:type="spellEnd"/>
      <w:r w:rsidRPr="007F00C7">
        <w:rPr>
          <w:color w:val="000000"/>
        </w:rPr>
        <w:t xml:space="preserve">. Eng. Remote Sensing 73, 829–840. </w:t>
      </w:r>
      <w:hyperlink r:id="rId98">
        <w:r w:rsidRPr="007F00C7">
          <w:rPr>
            <w:color w:val="4F81BD"/>
          </w:rPr>
          <w:t>https://doi.org/10.14358/PERS.73.7.829</w:t>
        </w:r>
      </w:hyperlink>
    </w:p>
    <w:p w14:paraId="000001C7" w14:textId="77777777" w:rsidR="001527B5" w:rsidRPr="007F00C7" w:rsidRDefault="00000000">
      <w:pPr>
        <w:pBdr>
          <w:top w:val="nil"/>
          <w:left w:val="nil"/>
          <w:bottom w:val="nil"/>
          <w:right w:val="nil"/>
          <w:between w:val="nil"/>
        </w:pBdr>
        <w:spacing w:before="180" w:after="0"/>
        <w:ind w:left="720" w:hanging="720"/>
        <w:rPr>
          <w:color w:val="000000"/>
        </w:rPr>
      </w:pPr>
      <w:bookmarkStart w:id="123" w:name="bookmark=id.1vsw3ci" w:colFirst="0" w:colLast="0"/>
      <w:bookmarkEnd w:id="123"/>
      <w:r w:rsidRPr="007F00C7">
        <w:rPr>
          <w:color w:val="000000"/>
        </w:rPr>
        <w:lastRenderedPageBreak/>
        <w:t xml:space="preserve">Plowright, A., 2024. </w:t>
      </w:r>
      <w:proofErr w:type="spellStart"/>
      <w:r w:rsidRPr="007F00C7">
        <w:t>ForestTools</w:t>
      </w:r>
      <w:proofErr w:type="spellEnd"/>
      <w:r w:rsidRPr="007F00C7">
        <w:t>: Tools for Analyzing Remote Sensing Forest Data [software]</w:t>
      </w:r>
      <w:r w:rsidRPr="007F00C7">
        <w:rPr>
          <w:color w:val="000000"/>
        </w:rPr>
        <w:t>. R p</w:t>
      </w:r>
      <w:r w:rsidRPr="007F00C7">
        <w:t>ackage v1.0.2. https://cran.r-project.org/package=ForestTools</w:t>
      </w:r>
      <w:r w:rsidRPr="007F00C7">
        <w:rPr>
          <w:color w:val="000000"/>
        </w:rPr>
        <w:t xml:space="preserve"> </w:t>
      </w:r>
    </w:p>
    <w:p w14:paraId="000001C8" w14:textId="77777777" w:rsidR="001527B5" w:rsidRPr="007F00C7" w:rsidRDefault="00000000">
      <w:pPr>
        <w:pBdr>
          <w:top w:val="nil"/>
          <w:left w:val="nil"/>
          <w:bottom w:val="nil"/>
          <w:right w:val="nil"/>
          <w:between w:val="nil"/>
        </w:pBdr>
        <w:spacing w:before="180" w:after="0"/>
        <w:ind w:left="720" w:hanging="720"/>
        <w:rPr>
          <w:color w:val="000000"/>
        </w:rPr>
      </w:pPr>
      <w:bookmarkStart w:id="124" w:name="bookmark=id.4fsjm0b" w:colFirst="0" w:colLast="0"/>
      <w:bookmarkEnd w:id="124"/>
      <w:r w:rsidRPr="007F00C7">
        <w:rPr>
          <w:color w:val="000000"/>
        </w:rPr>
        <w:t xml:space="preserve">Prentice, I., 1986. Some concepts and objectives of forest dynamics research. For. </w:t>
      </w:r>
      <w:proofErr w:type="spellStart"/>
      <w:r w:rsidRPr="007F00C7">
        <w:rPr>
          <w:color w:val="000000"/>
        </w:rPr>
        <w:t>Dyn</w:t>
      </w:r>
      <w:proofErr w:type="spellEnd"/>
      <w:r w:rsidRPr="007F00C7">
        <w:rPr>
          <w:color w:val="000000"/>
        </w:rPr>
        <w:t xml:space="preserve">. Res. West. Cent. Eur. PUDOC </w:t>
      </w:r>
      <w:proofErr w:type="spellStart"/>
      <w:r w:rsidRPr="007F00C7">
        <w:rPr>
          <w:color w:val="000000"/>
        </w:rPr>
        <w:t>Wagening</w:t>
      </w:r>
      <w:proofErr w:type="spellEnd"/>
      <w:r w:rsidRPr="007F00C7">
        <w:rPr>
          <w:color w:val="000000"/>
        </w:rPr>
        <w:t>. 3241.</w:t>
      </w:r>
    </w:p>
    <w:p w14:paraId="000001C9" w14:textId="77777777" w:rsidR="001527B5" w:rsidRPr="007F00C7" w:rsidRDefault="00000000">
      <w:pPr>
        <w:pBdr>
          <w:top w:val="nil"/>
          <w:left w:val="nil"/>
          <w:bottom w:val="nil"/>
          <w:right w:val="nil"/>
          <w:between w:val="nil"/>
        </w:pBdr>
        <w:spacing w:before="180" w:after="0"/>
        <w:ind w:left="720" w:hanging="720"/>
        <w:rPr>
          <w:color w:val="000000"/>
        </w:rPr>
      </w:pPr>
      <w:bookmarkStart w:id="125" w:name="bookmark=id.2uxtw84" w:colFirst="0" w:colLast="0"/>
      <w:bookmarkEnd w:id="125"/>
      <w:r w:rsidRPr="007F00C7">
        <w:rPr>
          <w:color w:val="000000"/>
        </w:rPr>
        <w:t xml:space="preserve">Prentice, I.C., </w:t>
      </w:r>
      <w:proofErr w:type="spellStart"/>
      <w:r w:rsidRPr="007F00C7">
        <w:rPr>
          <w:color w:val="000000"/>
        </w:rPr>
        <w:t>Leemans</w:t>
      </w:r>
      <w:proofErr w:type="spellEnd"/>
      <w:r w:rsidRPr="007F00C7">
        <w:rPr>
          <w:color w:val="000000"/>
        </w:rPr>
        <w:t xml:space="preserve">, R., 1990. Pattern and </w:t>
      </w:r>
      <w:r w:rsidRPr="007F00C7">
        <w:t>p</w:t>
      </w:r>
      <w:r w:rsidRPr="007F00C7">
        <w:rPr>
          <w:color w:val="000000"/>
        </w:rPr>
        <w:t xml:space="preserve">rocess and the </w:t>
      </w:r>
      <w:r w:rsidRPr="007F00C7">
        <w:t>d</w:t>
      </w:r>
      <w:r w:rsidRPr="007F00C7">
        <w:rPr>
          <w:color w:val="000000"/>
        </w:rPr>
        <w:t xml:space="preserve">ynamics of </w:t>
      </w:r>
      <w:r w:rsidRPr="007F00C7">
        <w:t>f</w:t>
      </w:r>
      <w:r w:rsidRPr="007F00C7">
        <w:rPr>
          <w:color w:val="000000"/>
        </w:rPr>
        <w:t xml:space="preserve">orest </w:t>
      </w:r>
      <w:r w:rsidRPr="007F00C7">
        <w:t>s</w:t>
      </w:r>
      <w:r w:rsidRPr="007F00C7">
        <w:rPr>
          <w:color w:val="000000"/>
        </w:rPr>
        <w:t xml:space="preserve">tructure: A </w:t>
      </w:r>
      <w:r w:rsidRPr="007F00C7">
        <w:t>s</w:t>
      </w:r>
      <w:r w:rsidRPr="007F00C7">
        <w:rPr>
          <w:color w:val="000000"/>
        </w:rPr>
        <w:t xml:space="preserve">imulation </w:t>
      </w:r>
      <w:r w:rsidRPr="007F00C7">
        <w:t>a</w:t>
      </w:r>
      <w:r w:rsidRPr="007F00C7">
        <w:rPr>
          <w:color w:val="000000"/>
        </w:rPr>
        <w:t xml:space="preserve">pproach. J. Ecol. 78, 340. </w:t>
      </w:r>
      <w:hyperlink r:id="rId99">
        <w:r w:rsidRPr="007F00C7">
          <w:rPr>
            <w:color w:val="4F81BD"/>
          </w:rPr>
          <w:t>https://doi.org/10.2307/2261116</w:t>
        </w:r>
      </w:hyperlink>
    </w:p>
    <w:p w14:paraId="000001CA" w14:textId="77777777" w:rsidR="001527B5" w:rsidRPr="007F00C7" w:rsidRDefault="00000000">
      <w:pPr>
        <w:pBdr>
          <w:top w:val="nil"/>
          <w:left w:val="nil"/>
          <w:bottom w:val="nil"/>
          <w:right w:val="nil"/>
          <w:between w:val="nil"/>
        </w:pBdr>
        <w:spacing w:before="180" w:after="0"/>
        <w:ind w:left="720" w:hanging="720"/>
        <w:rPr>
          <w:color w:val="000000"/>
        </w:rPr>
      </w:pPr>
      <w:bookmarkStart w:id="126" w:name="bookmark=id.1a346fx" w:colFirst="0" w:colLast="0"/>
      <w:bookmarkEnd w:id="126"/>
      <w:r w:rsidRPr="007F00C7">
        <w:rPr>
          <w:color w:val="000000"/>
        </w:rPr>
        <w:t xml:space="preserve">Rehfeldt, G.E., Crookston, N.L., </w:t>
      </w:r>
      <w:proofErr w:type="spellStart"/>
      <w:r w:rsidRPr="007F00C7">
        <w:rPr>
          <w:color w:val="000000"/>
        </w:rPr>
        <w:t>Warwell</w:t>
      </w:r>
      <w:proofErr w:type="spellEnd"/>
      <w:r w:rsidRPr="007F00C7">
        <w:rPr>
          <w:color w:val="000000"/>
        </w:rPr>
        <w:t xml:space="preserve">, M.V., Evans, J.S., 2006. Empirical </w:t>
      </w:r>
      <w:r w:rsidRPr="007F00C7">
        <w:t>a</w:t>
      </w:r>
      <w:r w:rsidRPr="007F00C7">
        <w:rPr>
          <w:color w:val="000000"/>
        </w:rPr>
        <w:t xml:space="preserve">nalyses of </w:t>
      </w:r>
      <w:r w:rsidRPr="007F00C7">
        <w:t>p</w:t>
      </w:r>
      <w:r w:rsidRPr="007F00C7">
        <w:rPr>
          <w:color w:val="000000"/>
        </w:rPr>
        <w:t>lant-</w:t>
      </w:r>
      <w:r w:rsidRPr="007F00C7">
        <w:t>c</w:t>
      </w:r>
      <w:r w:rsidRPr="007F00C7">
        <w:rPr>
          <w:color w:val="000000"/>
        </w:rPr>
        <w:t xml:space="preserve">limate </w:t>
      </w:r>
      <w:r w:rsidRPr="007F00C7">
        <w:t>r</w:t>
      </w:r>
      <w:r w:rsidRPr="007F00C7">
        <w:rPr>
          <w:color w:val="000000"/>
        </w:rPr>
        <w:t xml:space="preserve">elationships for the Western United States. Int. J. Plant. Sci. 167, 1123–1150. </w:t>
      </w:r>
      <w:hyperlink r:id="rId100">
        <w:r w:rsidRPr="007F00C7">
          <w:rPr>
            <w:color w:val="4F81BD"/>
          </w:rPr>
          <w:t>https://doi.org/10.1086/507711</w:t>
        </w:r>
      </w:hyperlink>
    </w:p>
    <w:p w14:paraId="000001CB" w14:textId="77777777" w:rsidR="001527B5" w:rsidRPr="007F00C7" w:rsidRDefault="00000000">
      <w:pPr>
        <w:pBdr>
          <w:top w:val="nil"/>
          <w:left w:val="nil"/>
          <w:bottom w:val="nil"/>
          <w:right w:val="nil"/>
          <w:between w:val="nil"/>
        </w:pBdr>
        <w:spacing w:before="180" w:after="0"/>
        <w:ind w:left="720" w:hanging="720"/>
        <w:rPr>
          <w:color w:val="000000"/>
        </w:rPr>
      </w:pPr>
      <w:bookmarkStart w:id="127" w:name="bookmark=id.3u2rp3q" w:colFirst="0" w:colLast="0"/>
      <w:bookmarkEnd w:id="127"/>
      <w:r w:rsidRPr="007F00C7">
        <w:rPr>
          <w:color w:val="000000"/>
        </w:rPr>
        <w:t xml:space="preserve">Ridgeway, G., 2024. </w:t>
      </w:r>
      <w:r w:rsidRPr="007F00C7">
        <w:t>GBM: Generalized boosted regression models [software]</w:t>
      </w:r>
      <w:r w:rsidRPr="007F00C7">
        <w:rPr>
          <w:color w:val="000000"/>
        </w:rPr>
        <w:t>. R package v2.1.9</w:t>
      </w:r>
      <w:r w:rsidRPr="007F00C7">
        <w:t>. https://cran.r-project.org/package=gbm</w:t>
      </w:r>
    </w:p>
    <w:p w14:paraId="000001CC" w14:textId="77777777" w:rsidR="001527B5" w:rsidRPr="007F00C7" w:rsidRDefault="00000000">
      <w:pPr>
        <w:pBdr>
          <w:top w:val="nil"/>
          <w:left w:val="nil"/>
          <w:bottom w:val="nil"/>
          <w:right w:val="nil"/>
          <w:between w:val="nil"/>
        </w:pBdr>
        <w:spacing w:before="180" w:after="0"/>
        <w:ind w:left="720" w:hanging="720"/>
        <w:rPr>
          <w:color w:val="000000"/>
        </w:rPr>
      </w:pPr>
      <w:bookmarkStart w:id="128" w:name="bookmark=id.2981zbj" w:colFirst="0" w:colLast="0"/>
      <w:bookmarkEnd w:id="128"/>
      <w:proofErr w:type="spellStart"/>
      <w:r w:rsidRPr="007F00C7">
        <w:rPr>
          <w:color w:val="000000"/>
        </w:rPr>
        <w:t>Roebroek</w:t>
      </w:r>
      <w:proofErr w:type="spellEnd"/>
      <w:r w:rsidRPr="007F00C7">
        <w:rPr>
          <w:color w:val="000000"/>
        </w:rPr>
        <w:t xml:space="preserve">, C.T.J., </w:t>
      </w:r>
      <w:proofErr w:type="spellStart"/>
      <w:r w:rsidRPr="007F00C7">
        <w:rPr>
          <w:color w:val="000000"/>
        </w:rPr>
        <w:t>Melsen</w:t>
      </w:r>
      <w:proofErr w:type="spellEnd"/>
      <w:r w:rsidRPr="007F00C7">
        <w:rPr>
          <w:color w:val="000000"/>
        </w:rPr>
        <w:t xml:space="preserve">, L.A., Hoek Van </w:t>
      </w:r>
      <w:proofErr w:type="spellStart"/>
      <w:r w:rsidRPr="007F00C7">
        <w:rPr>
          <w:color w:val="000000"/>
        </w:rPr>
        <w:t>Dijke</w:t>
      </w:r>
      <w:proofErr w:type="spellEnd"/>
      <w:r w:rsidRPr="007F00C7">
        <w:rPr>
          <w:color w:val="000000"/>
        </w:rPr>
        <w:t xml:space="preserve">, A.J., Fan, Y., </w:t>
      </w:r>
      <w:proofErr w:type="spellStart"/>
      <w:r w:rsidRPr="007F00C7">
        <w:rPr>
          <w:color w:val="000000"/>
        </w:rPr>
        <w:t>Teuling</w:t>
      </w:r>
      <w:proofErr w:type="spellEnd"/>
      <w:r w:rsidRPr="007F00C7">
        <w:rPr>
          <w:color w:val="000000"/>
        </w:rPr>
        <w:t xml:space="preserve">, A.J., 2020. Global distribution of hydrologic controls on forest growth. </w:t>
      </w:r>
      <w:proofErr w:type="spellStart"/>
      <w:r w:rsidRPr="007F00C7">
        <w:rPr>
          <w:color w:val="000000"/>
        </w:rPr>
        <w:t>Hydrol</w:t>
      </w:r>
      <w:proofErr w:type="spellEnd"/>
      <w:r w:rsidRPr="007F00C7">
        <w:rPr>
          <w:color w:val="000000"/>
        </w:rPr>
        <w:t xml:space="preserve">. Earth Syst. Sci. 24, 4625–4639. </w:t>
      </w:r>
      <w:hyperlink r:id="rId101">
        <w:r w:rsidRPr="007F00C7">
          <w:rPr>
            <w:color w:val="4F81BD"/>
          </w:rPr>
          <w:t>https://doi.org/10.5194/hess-24-4625-2020</w:t>
        </w:r>
      </w:hyperlink>
    </w:p>
    <w:p w14:paraId="000001CD" w14:textId="77777777" w:rsidR="001527B5" w:rsidRPr="007F00C7" w:rsidRDefault="00000000">
      <w:pPr>
        <w:pBdr>
          <w:top w:val="nil"/>
          <w:left w:val="nil"/>
          <w:bottom w:val="nil"/>
          <w:right w:val="nil"/>
          <w:between w:val="nil"/>
        </w:pBdr>
        <w:spacing w:before="180" w:after="0"/>
        <w:ind w:left="720" w:hanging="720"/>
        <w:rPr>
          <w:color w:val="000000"/>
        </w:rPr>
      </w:pPr>
      <w:bookmarkStart w:id="129" w:name="bookmark=id.odc9jc" w:colFirst="0" w:colLast="0"/>
      <w:bookmarkEnd w:id="129"/>
      <w:r w:rsidRPr="007F00C7">
        <w:rPr>
          <w:color w:val="000000"/>
        </w:rPr>
        <w:t xml:space="preserve">Roussel, J.-R., </w:t>
      </w:r>
      <w:proofErr w:type="spellStart"/>
      <w:r w:rsidRPr="007F00C7">
        <w:rPr>
          <w:color w:val="000000"/>
        </w:rPr>
        <w:t>Boissieu</w:t>
      </w:r>
      <w:proofErr w:type="spellEnd"/>
      <w:r w:rsidRPr="007F00C7">
        <w:rPr>
          <w:color w:val="000000"/>
        </w:rPr>
        <w:t xml:space="preserve">, F.D., 2023. </w:t>
      </w:r>
      <w:proofErr w:type="spellStart"/>
      <w:r w:rsidRPr="007F00C7">
        <w:t>rlas</w:t>
      </w:r>
      <w:proofErr w:type="spellEnd"/>
      <w:r w:rsidRPr="007F00C7">
        <w:t>: Read and Write ’las’ and ’</w:t>
      </w:r>
      <w:proofErr w:type="spellStart"/>
      <w:r w:rsidRPr="007F00C7">
        <w:t>laz</w:t>
      </w:r>
      <w:proofErr w:type="spellEnd"/>
      <w:r w:rsidRPr="007F00C7">
        <w:t>’ binary file formats used for remote sensing data [software]</w:t>
      </w:r>
      <w:r w:rsidRPr="007F00C7">
        <w:rPr>
          <w:color w:val="000000"/>
        </w:rPr>
        <w:t xml:space="preserve">. R package v1.7.0. </w:t>
      </w:r>
      <w:hyperlink r:id="rId102">
        <w:r w:rsidRPr="007F00C7">
          <w:rPr>
            <w:color w:val="4F81BD"/>
          </w:rPr>
          <w:t>https://CRAN.R-project.org/package=rlas</w:t>
        </w:r>
      </w:hyperlink>
    </w:p>
    <w:p w14:paraId="000001CE" w14:textId="77777777" w:rsidR="001527B5" w:rsidRPr="007F00C7" w:rsidRDefault="00000000">
      <w:pPr>
        <w:pBdr>
          <w:top w:val="nil"/>
          <w:left w:val="nil"/>
          <w:bottom w:val="nil"/>
          <w:right w:val="nil"/>
          <w:between w:val="nil"/>
        </w:pBdr>
        <w:spacing w:before="180" w:after="0"/>
        <w:ind w:left="720" w:hanging="720"/>
        <w:rPr>
          <w:color w:val="000000"/>
        </w:rPr>
      </w:pPr>
      <w:bookmarkStart w:id="130" w:name="bookmark=id.38czs75" w:colFirst="0" w:colLast="0"/>
      <w:bookmarkEnd w:id="130"/>
      <w:r w:rsidRPr="007F00C7">
        <w:rPr>
          <w:color w:val="000000"/>
        </w:rPr>
        <w:t xml:space="preserve">Roussel, J.R., </w:t>
      </w:r>
      <w:proofErr w:type="spellStart"/>
      <w:r w:rsidRPr="007F00C7">
        <w:rPr>
          <w:color w:val="000000"/>
        </w:rPr>
        <w:t>Auty</w:t>
      </w:r>
      <w:proofErr w:type="spellEnd"/>
      <w:r w:rsidRPr="007F00C7">
        <w:rPr>
          <w:color w:val="000000"/>
        </w:rPr>
        <w:t xml:space="preserve">, D., Coops, N. C., </w:t>
      </w:r>
      <w:proofErr w:type="spellStart"/>
      <w:r w:rsidRPr="007F00C7">
        <w:rPr>
          <w:color w:val="000000"/>
        </w:rPr>
        <w:t>Tompalski</w:t>
      </w:r>
      <w:proofErr w:type="spellEnd"/>
      <w:r w:rsidRPr="007F00C7">
        <w:rPr>
          <w:color w:val="000000"/>
        </w:rPr>
        <w:t xml:space="preserve">, P., Goodbody, T. R. H., Sánchez Meador, A., Bourdon, J.F., De </w:t>
      </w:r>
      <w:proofErr w:type="spellStart"/>
      <w:r w:rsidRPr="007F00C7">
        <w:rPr>
          <w:color w:val="000000"/>
        </w:rPr>
        <w:t>Boissieu</w:t>
      </w:r>
      <w:proofErr w:type="spellEnd"/>
      <w:r w:rsidRPr="007F00C7">
        <w:rPr>
          <w:color w:val="000000"/>
        </w:rPr>
        <w:t xml:space="preserve">, F., Achim, A., 2021. </w:t>
      </w:r>
      <w:proofErr w:type="spellStart"/>
      <w:r w:rsidRPr="007F00C7">
        <w:rPr>
          <w:color w:val="000000"/>
        </w:rPr>
        <w:t>lidR</w:t>
      </w:r>
      <w:proofErr w:type="spellEnd"/>
      <w:r w:rsidRPr="007F00C7">
        <w:rPr>
          <w:color w:val="000000"/>
        </w:rPr>
        <w:t xml:space="preserve">: An R package for analysis of Airborne Laser Scanning (ALS) data. Remote Sens. Environ. 251, 112061. </w:t>
      </w:r>
      <w:proofErr w:type="gramStart"/>
      <w:r w:rsidRPr="007F00C7">
        <w:rPr>
          <w:color w:val="000000"/>
        </w:rPr>
        <w:t>doi:10.1016/j.rse</w:t>
      </w:r>
      <w:proofErr w:type="gramEnd"/>
      <w:r w:rsidRPr="007F00C7">
        <w:rPr>
          <w:color w:val="000000"/>
        </w:rPr>
        <w:t>.2020.112061.</w:t>
      </w:r>
    </w:p>
    <w:p w14:paraId="000001CF" w14:textId="77777777" w:rsidR="001527B5" w:rsidRPr="007F00C7" w:rsidRDefault="00000000">
      <w:pPr>
        <w:pBdr>
          <w:top w:val="nil"/>
          <w:left w:val="nil"/>
          <w:bottom w:val="nil"/>
          <w:right w:val="nil"/>
          <w:between w:val="nil"/>
        </w:pBdr>
        <w:spacing w:before="180" w:after="0"/>
        <w:ind w:left="720" w:hanging="720"/>
        <w:rPr>
          <w:color w:val="000000"/>
        </w:rPr>
      </w:pPr>
      <w:r w:rsidRPr="007F00C7">
        <w:rPr>
          <w:color w:val="000000"/>
        </w:rPr>
        <w:t xml:space="preserve">Roussel, J.-R., </w:t>
      </w:r>
      <w:proofErr w:type="spellStart"/>
      <w:r w:rsidRPr="007F00C7">
        <w:rPr>
          <w:color w:val="000000"/>
        </w:rPr>
        <w:t>Auty</w:t>
      </w:r>
      <w:proofErr w:type="spellEnd"/>
      <w:r w:rsidRPr="007F00C7">
        <w:rPr>
          <w:color w:val="000000"/>
        </w:rPr>
        <w:t xml:space="preserve">, D., 2023, </w:t>
      </w:r>
      <w:proofErr w:type="spellStart"/>
      <w:r w:rsidRPr="007F00C7">
        <w:rPr>
          <w:color w:val="000000"/>
        </w:rPr>
        <w:t>lidR</w:t>
      </w:r>
      <w:proofErr w:type="spellEnd"/>
      <w:r w:rsidRPr="007F00C7">
        <w:rPr>
          <w:color w:val="000000"/>
        </w:rPr>
        <w:t xml:space="preserve">: Airborne LiDAR </w:t>
      </w:r>
      <w:r w:rsidRPr="007F00C7">
        <w:t>d</w:t>
      </w:r>
      <w:r w:rsidRPr="007F00C7">
        <w:rPr>
          <w:color w:val="000000"/>
        </w:rPr>
        <w:t xml:space="preserve">ata </w:t>
      </w:r>
      <w:r w:rsidRPr="007F00C7">
        <w:t>m</w:t>
      </w:r>
      <w:r w:rsidRPr="007F00C7">
        <w:rPr>
          <w:color w:val="000000"/>
        </w:rPr>
        <w:t xml:space="preserve">anipulation and </w:t>
      </w:r>
      <w:r w:rsidRPr="007F00C7">
        <w:t>v</w:t>
      </w:r>
      <w:r w:rsidRPr="007F00C7">
        <w:rPr>
          <w:color w:val="000000"/>
        </w:rPr>
        <w:t xml:space="preserve">isualization for </w:t>
      </w:r>
      <w:r w:rsidRPr="007F00C7">
        <w:t>f</w:t>
      </w:r>
      <w:r w:rsidRPr="007F00C7">
        <w:rPr>
          <w:color w:val="000000"/>
        </w:rPr>
        <w:t xml:space="preserve">orestry </w:t>
      </w:r>
      <w:r w:rsidRPr="007F00C7">
        <w:t>a</w:t>
      </w:r>
      <w:r w:rsidRPr="007F00C7">
        <w:rPr>
          <w:color w:val="000000"/>
        </w:rPr>
        <w:t>pplications [s</w:t>
      </w:r>
      <w:r w:rsidRPr="007F00C7">
        <w:t>oftware]</w:t>
      </w:r>
      <w:r w:rsidRPr="007F00C7">
        <w:rPr>
          <w:color w:val="000000"/>
        </w:rPr>
        <w:t xml:space="preserve">. R package </w:t>
      </w:r>
      <w:r w:rsidRPr="007F00C7">
        <w:t>v</w:t>
      </w:r>
      <w:r w:rsidRPr="007F00C7">
        <w:rPr>
          <w:color w:val="000000"/>
        </w:rPr>
        <w:t xml:space="preserve">4.0.0. </w:t>
      </w:r>
      <w:hyperlink r:id="rId103">
        <w:r w:rsidRPr="007F00C7">
          <w:rPr>
            <w:color w:val="4F81BD"/>
          </w:rPr>
          <w:t>https://cran.r-project.org/package=lidR</w:t>
        </w:r>
      </w:hyperlink>
    </w:p>
    <w:p w14:paraId="000001D0" w14:textId="77777777" w:rsidR="001527B5" w:rsidRPr="007F00C7" w:rsidRDefault="00000000">
      <w:pPr>
        <w:pBdr>
          <w:top w:val="nil"/>
          <w:left w:val="nil"/>
          <w:bottom w:val="nil"/>
          <w:right w:val="nil"/>
          <w:between w:val="nil"/>
        </w:pBdr>
        <w:spacing w:before="180" w:after="0"/>
        <w:ind w:left="720" w:hanging="720"/>
      </w:pPr>
      <w:r w:rsidRPr="007F00C7">
        <w:rPr>
          <w:color w:val="000000"/>
        </w:rPr>
        <w:t xml:space="preserve">Roussel, J.-R., 2023, </w:t>
      </w:r>
      <w:proofErr w:type="spellStart"/>
      <w:r w:rsidRPr="007F00C7">
        <w:rPr>
          <w:color w:val="000000"/>
        </w:rPr>
        <w:t>lidRplugins</w:t>
      </w:r>
      <w:proofErr w:type="spellEnd"/>
      <w:r w:rsidRPr="007F00C7">
        <w:rPr>
          <w:color w:val="000000"/>
        </w:rPr>
        <w:t xml:space="preserve">: Extra functions and algorithms for </w:t>
      </w:r>
      <w:proofErr w:type="spellStart"/>
      <w:r w:rsidRPr="007F00C7">
        <w:rPr>
          <w:color w:val="000000"/>
        </w:rPr>
        <w:t>lidR</w:t>
      </w:r>
      <w:proofErr w:type="spellEnd"/>
      <w:r w:rsidRPr="007F00C7">
        <w:rPr>
          <w:color w:val="000000"/>
        </w:rPr>
        <w:t xml:space="preserve"> package [software]. R package v0.4.0. </w:t>
      </w:r>
      <w:hyperlink r:id="rId104">
        <w:r w:rsidRPr="007F00C7">
          <w:rPr>
            <w:color w:val="4F81BD"/>
          </w:rPr>
          <w:t>https://github.com/Jean-Romain/lidRplugins</w:t>
        </w:r>
      </w:hyperlink>
      <w:r w:rsidRPr="007F00C7">
        <w:t xml:space="preserve"> </w:t>
      </w:r>
    </w:p>
    <w:p w14:paraId="000001D1" w14:textId="77777777" w:rsidR="001527B5" w:rsidRPr="007F00C7" w:rsidRDefault="00000000">
      <w:pPr>
        <w:pBdr>
          <w:top w:val="nil"/>
          <w:left w:val="nil"/>
          <w:bottom w:val="nil"/>
          <w:right w:val="nil"/>
          <w:between w:val="nil"/>
        </w:pBdr>
        <w:spacing w:before="180" w:after="0"/>
        <w:ind w:left="720" w:hanging="720"/>
        <w:rPr>
          <w:color w:val="000000"/>
        </w:rPr>
      </w:pPr>
      <w:r w:rsidRPr="007F00C7">
        <w:rPr>
          <w:color w:val="000000"/>
        </w:rPr>
        <w:t xml:space="preserve">Shreve, F., 1915. The vegetation of a desert mountain range as conditioned by climatic factors. (Report </w:t>
      </w:r>
      <w:r w:rsidRPr="007F00C7">
        <w:t xml:space="preserve">No. 217). </w:t>
      </w:r>
      <w:r w:rsidRPr="007F00C7">
        <w:rPr>
          <w:color w:val="000000"/>
        </w:rPr>
        <w:t>Carnegie Institution of Washington. Washington.</w:t>
      </w:r>
    </w:p>
    <w:p w14:paraId="000001D2" w14:textId="77777777" w:rsidR="001527B5" w:rsidRPr="007F00C7" w:rsidRDefault="00000000">
      <w:pPr>
        <w:pBdr>
          <w:top w:val="nil"/>
          <w:left w:val="nil"/>
          <w:bottom w:val="nil"/>
          <w:right w:val="nil"/>
          <w:between w:val="nil"/>
        </w:pBdr>
        <w:spacing w:before="180" w:after="0"/>
        <w:ind w:left="720" w:hanging="720"/>
        <w:rPr>
          <w:color w:val="000000"/>
        </w:rPr>
      </w:pPr>
      <w:bookmarkStart w:id="131" w:name="bookmark=id.1nia2ey" w:colFirst="0" w:colLast="0"/>
      <w:bookmarkEnd w:id="131"/>
      <w:proofErr w:type="spellStart"/>
      <w:r w:rsidRPr="007F00C7">
        <w:rPr>
          <w:color w:val="000000"/>
        </w:rPr>
        <w:t>Siirila</w:t>
      </w:r>
      <w:proofErr w:type="spellEnd"/>
      <w:r w:rsidRPr="007F00C7">
        <w:rPr>
          <w:color w:val="000000"/>
        </w:rPr>
        <w:t xml:space="preserve">-Woodburn, E.R., Rhoades, A.M., Hatchett, B.J., </w:t>
      </w:r>
      <w:proofErr w:type="spellStart"/>
      <w:r w:rsidRPr="007F00C7">
        <w:rPr>
          <w:color w:val="000000"/>
        </w:rPr>
        <w:t>Huning</w:t>
      </w:r>
      <w:proofErr w:type="spellEnd"/>
      <w:r w:rsidRPr="007F00C7">
        <w:rPr>
          <w:color w:val="000000"/>
        </w:rPr>
        <w:t xml:space="preserve">, L.S., </w:t>
      </w:r>
      <w:proofErr w:type="spellStart"/>
      <w:r w:rsidRPr="007F00C7">
        <w:rPr>
          <w:color w:val="000000"/>
        </w:rPr>
        <w:t>Szinai</w:t>
      </w:r>
      <w:proofErr w:type="spellEnd"/>
      <w:r w:rsidRPr="007F00C7">
        <w:rPr>
          <w:color w:val="000000"/>
        </w:rPr>
        <w:t xml:space="preserve">, J., Tague, C., Nico, P.S., Feldman, D.R., Jones, A.D., Collins, W.D., </w:t>
      </w:r>
      <w:proofErr w:type="spellStart"/>
      <w:r w:rsidRPr="007F00C7">
        <w:rPr>
          <w:color w:val="000000"/>
        </w:rPr>
        <w:t>Kaatz</w:t>
      </w:r>
      <w:proofErr w:type="spellEnd"/>
      <w:r w:rsidRPr="007F00C7">
        <w:rPr>
          <w:color w:val="000000"/>
        </w:rPr>
        <w:t xml:space="preserve">, L., 2021. A low-to-no snow future and its impacts on water resources in the western United States. Nat. Rev. Earth. Environ. 2, 800–819. </w:t>
      </w:r>
      <w:hyperlink r:id="rId105">
        <w:r w:rsidRPr="007F00C7">
          <w:rPr>
            <w:color w:val="4F81BD"/>
          </w:rPr>
          <w:t>https://doi.org/10.1038/s43017-021-00219-y</w:t>
        </w:r>
      </w:hyperlink>
    </w:p>
    <w:p w14:paraId="000001D3" w14:textId="77777777" w:rsidR="001527B5" w:rsidRPr="007F00C7" w:rsidRDefault="00000000">
      <w:pPr>
        <w:pBdr>
          <w:top w:val="nil"/>
          <w:left w:val="nil"/>
          <w:bottom w:val="nil"/>
          <w:right w:val="nil"/>
          <w:between w:val="nil"/>
        </w:pBdr>
        <w:spacing w:before="180" w:after="0"/>
        <w:ind w:left="720" w:hanging="720"/>
        <w:rPr>
          <w:color w:val="000000"/>
        </w:rPr>
      </w:pPr>
      <w:bookmarkStart w:id="132" w:name="bookmark=id.47hxl2r" w:colFirst="0" w:colLast="0"/>
      <w:bookmarkEnd w:id="132"/>
      <w:r w:rsidRPr="007F00C7">
        <w:rPr>
          <w:color w:val="000000"/>
        </w:rPr>
        <w:t xml:space="preserve">Soil Survey Staff, Natural Resources Conservation Service, United States Department of Agriculture, 2023. </w:t>
      </w:r>
      <w:r w:rsidRPr="007F00C7">
        <w:t>Soil Survey Geographic (SSURGO) Database for Gunnison County, Colorado [dataset]</w:t>
      </w:r>
      <w:r w:rsidRPr="007F00C7">
        <w:rPr>
          <w:color w:val="000000"/>
        </w:rPr>
        <w:t>. https://www.nrcs.usda.gov/resources/data-and-reports/soil-survey-geographic-database-ssurgo</w:t>
      </w:r>
    </w:p>
    <w:p w14:paraId="000001D4" w14:textId="77777777" w:rsidR="001527B5" w:rsidRPr="007F00C7" w:rsidRDefault="00000000">
      <w:pPr>
        <w:pBdr>
          <w:top w:val="nil"/>
          <w:left w:val="nil"/>
          <w:bottom w:val="nil"/>
          <w:right w:val="nil"/>
          <w:between w:val="nil"/>
        </w:pBdr>
        <w:spacing w:before="180" w:after="0"/>
        <w:ind w:left="720" w:hanging="720"/>
        <w:rPr>
          <w:color w:val="000000"/>
        </w:rPr>
      </w:pPr>
      <w:bookmarkStart w:id="133" w:name="bookmark=id.2mn7vak" w:colFirst="0" w:colLast="0"/>
      <w:bookmarkEnd w:id="133"/>
      <w:r w:rsidRPr="007F00C7">
        <w:rPr>
          <w:color w:val="000000"/>
        </w:rPr>
        <w:lastRenderedPageBreak/>
        <w:t xml:space="preserve">Stephenson, N.L., 1990. Climatic control of vegetation distribution: The role of the water balance. Am. Nat. 135, 649–670. </w:t>
      </w:r>
    </w:p>
    <w:p w14:paraId="000001D5" w14:textId="77777777" w:rsidR="001527B5" w:rsidRPr="007F00C7" w:rsidRDefault="00000000">
      <w:pPr>
        <w:pBdr>
          <w:top w:val="nil"/>
          <w:left w:val="nil"/>
          <w:bottom w:val="nil"/>
          <w:right w:val="nil"/>
          <w:between w:val="nil"/>
        </w:pBdr>
        <w:spacing w:before="180" w:after="0"/>
        <w:ind w:left="720" w:hanging="720"/>
        <w:rPr>
          <w:color w:val="000000"/>
        </w:rPr>
      </w:pPr>
      <w:bookmarkStart w:id="134" w:name="bookmark=id.11si5id" w:colFirst="0" w:colLast="0"/>
      <w:bookmarkEnd w:id="134"/>
      <w:proofErr w:type="spellStart"/>
      <w:r w:rsidRPr="007F00C7">
        <w:rPr>
          <w:color w:val="000000"/>
        </w:rPr>
        <w:t>Streufert</w:t>
      </w:r>
      <w:proofErr w:type="spellEnd"/>
      <w:r w:rsidRPr="007F00C7">
        <w:rPr>
          <w:color w:val="000000"/>
        </w:rPr>
        <w:t>, R.K., 1999. Geology and mineral resources of Gunnison County, Colorado (Resource Series No. 37). Colorado Geological Survey, Department of Natural Resources. Golden, Colora</w:t>
      </w:r>
      <w:r w:rsidRPr="007F00C7">
        <w:t>do, USA.</w:t>
      </w:r>
    </w:p>
    <w:p w14:paraId="000001D6" w14:textId="77777777" w:rsidR="001527B5" w:rsidRPr="007F00C7" w:rsidRDefault="00000000">
      <w:pPr>
        <w:pBdr>
          <w:top w:val="nil"/>
          <w:left w:val="nil"/>
          <w:bottom w:val="nil"/>
          <w:right w:val="nil"/>
          <w:between w:val="nil"/>
        </w:pBdr>
        <w:spacing w:before="180" w:after="0"/>
        <w:ind w:left="720" w:hanging="720"/>
        <w:rPr>
          <w:color w:val="000000"/>
        </w:rPr>
      </w:pPr>
      <w:bookmarkStart w:id="135" w:name="bookmark=id.3ls5o66" w:colFirst="0" w:colLast="0"/>
      <w:bookmarkEnd w:id="135"/>
      <w:r w:rsidRPr="007F00C7">
        <w:rPr>
          <w:color w:val="000000"/>
        </w:rPr>
        <w:t xml:space="preserve">Swenson, N.G., </w:t>
      </w:r>
      <w:proofErr w:type="spellStart"/>
      <w:r w:rsidRPr="007F00C7">
        <w:rPr>
          <w:color w:val="000000"/>
        </w:rPr>
        <w:t>Enquist</w:t>
      </w:r>
      <w:proofErr w:type="spellEnd"/>
      <w:r w:rsidRPr="007F00C7">
        <w:rPr>
          <w:color w:val="000000"/>
        </w:rPr>
        <w:t>, B.J., 2007. Ecological and evolutionary determinants of a key plant functional trait: Wood density and its community-wide variation across latitude and elevation. Am. J. Bot. 94, 451–459.</w:t>
      </w:r>
    </w:p>
    <w:p w14:paraId="000001D7" w14:textId="77777777" w:rsidR="001527B5" w:rsidRPr="007F00C7" w:rsidRDefault="00000000">
      <w:pPr>
        <w:pBdr>
          <w:top w:val="nil"/>
          <w:left w:val="nil"/>
          <w:bottom w:val="nil"/>
          <w:right w:val="nil"/>
          <w:between w:val="nil"/>
        </w:pBdr>
        <w:spacing w:before="180" w:after="0"/>
        <w:ind w:left="720" w:hanging="720"/>
        <w:rPr>
          <w:color w:val="000000"/>
        </w:rPr>
      </w:pPr>
      <w:bookmarkStart w:id="136" w:name="bookmark=id.20xfydz" w:colFirst="0" w:colLast="0"/>
      <w:bookmarkEnd w:id="136"/>
      <w:proofErr w:type="spellStart"/>
      <w:r w:rsidRPr="007F00C7">
        <w:rPr>
          <w:color w:val="000000"/>
        </w:rPr>
        <w:t>Tweto</w:t>
      </w:r>
      <w:proofErr w:type="spellEnd"/>
      <w:r w:rsidRPr="007F00C7">
        <w:rPr>
          <w:color w:val="000000"/>
        </w:rPr>
        <w:t xml:space="preserve">, O., 1979. </w:t>
      </w:r>
      <w:r w:rsidRPr="007F00C7">
        <w:t>MI-16 Geologic Map of Colorado. (Miscellaneous Investigations). Colorado Geological Survey, Department of Natural Resources. Denver, Colorado, USA. https://coloradogeologicalsurvey.org/publications/tweto-geologic-map-colorado-1979.</w:t>
      </w:r>
    </w:p>
    <w:p w14:paraId="000001D8" w14:textId="77777777" w:rsidR="001527B5" w:rsidRPr="007F00C7" w:rsidRDefault="00000000">
      <w:pPr>
        <w:pBdr>
          <w:top w:val="nil"/>
          <w:left w:val="nil"/>
          <w:bottom w:val="nil"/>
          <w:right w:val="nil"/>
          <w:between w:val="nil"/>
        </w:pBdr>
        <w:spacing w:before="180" w:after="0"/>
        <w:ind w:left="720" w:hanging="720"/>
        <w:rPr>
          <w:color w:val="000000"/>
        </w:rPr>
      </w:pPr>
      <w:bookmarkStart w:id="137" w:name="bookmark=id.4kx3h1s" w:colFirst="0" w:colLast="0"/>
      <w:bookmarkEnd w:id="137"/>
      <w:proofErr w:type="spellStart"/>
      <w:r w:rsidRPr="007F00C7">
        <w:rPr>
          <w:color w:val="000000"/>
        </w:rPr>
        <w:t>Uhlemann</w:t>
      </w:r>
      <w:proofErr w:type="spellEnd"/>
      <w:r w:rsidRPr="007F00C7">
        <w:rPr>
          <w:color w:val="000000"/>
        </w:rPr>
        <w:t xml:space="preserve">, S., </w:t>
      </w:r>
      <w:proofErr w:type="spellStart"/>
      <w:r w:rsidRPr="007F00C7">
        <w:rPr>
          <w:color w:val="000000"/>
        </w:rPr>
        <w:t>Dafflon</w:t>
      </w:r>
      <w:proofErr w:type="spellEnd"/>
      <w:r w:rsidRPr="007F00C7">
        <w:rPr>
          <w:color w:val="000000"/>
        </w:rPr>
        <w:t xml:space="preserve">, B., Wainwright, H.M., Williams, K.H., </w:t>
      </w:r>
      <w:proofErr w:type="spellStart"/>
      <w:r w:rsidRPr="007F00C7">
        <w:rPr>
          <w:color w:val="000000"/>
        </w:rPr>
        <w:t>Minsley</w:t>
      </w:r>
      <w:proofErr w:type="spellEnd"/>
      <w:r w:rsidRPr="007F00C7">
        <w:rPr>
          <w:color w:val="000000"/>
        </w:rPr>
        <w:t xml:space="preserve">, B., Zamudio, K., </w:t>
      </w:r>
      <w:proofErr w:type="spellStart"/>
      <w:r w:rsidRPr="007F00C7">
        <w:rPr>
          <w:color w:val="000000"/>
        </w:rPr>
        <w:t>Carr</w:t>
      </w:r>
      <w:proofErr w:type="spellEnd"/>
      <w:r w:rsidRPr="007F00C7">
        <w:rPr>
          <w:color w:val="000000"/>
        </w:rPr>
        <w:t xml:space="preserve">, B., Falco, N., Ulrich, C., Hubbard, S., 2022. Surface parameters and bedrock properties covary across a mountainous watershed: Insights from machine learning and geophysics. Sci. Adv. 8, eabj2479. </w:t>
      </w:r>
      <w:hyperlink r:id="rId106">
        <w:r w:rsidRPr="007F00C7">
          <w:rPr>
            <w:color w:val="4F81BD"/>
          </w:rPr>
          <w:t>https://doi.org/10.1126/sciadv.abj2479</w:t>
        </w:r>
      </w:hyperlink>
    </w:p>
    <w:p w14:paraId="000001D9" w14:textId="77777777" w:rsidR="001527B5" w:rsidRPr="007F00C7" w:rsidRDefault="00000000">
      <w:pPr>
        <w:pBdr>
          <w:top w:val="nil"/>
          <w:left w:val="nil"/>
          <w:bottom w:val="nil"/>
          <w:right w:val="nil"/>
          <w:between w:val="nil"/>
        </w:pBdr>
        <w:spacing w:before="180" w:after="0"/>
        <w:ind w:left="720" w:hanging="720"/>
        <w:rPr>
          <w:color w:val="000000"/>
        </w:rPr>
      </w:pPr>
      <w:bookmarkStart w:id="138" w:name="bookmark=id.302dr9l" w:colFirst="0" w:colLast="0"/>
      <w:bookmarkEnd w:id="138"/>
      <w:r w:rsidRPr="007F00C7">
        <w:rPr>
          <w:color w:val="000000"/>
        </w:rPr>
        <w:t xml:space="preserve">Urban, D.L., Miller, C., Halpin, P.N., Stephenson, N.L., 2000. Forest gradient response in Sierran landscapes: The physical template. </w:t>
      </w:r>
      <w:proofErr w:type="spellStart"/>
      <w:r w:rsidRPr="007F00C7">
        <w:rPr>
          <w:color w:val="000000"/>
        </w:rPr>
        <w:t>Landsc</w:t>
      </w:r>
      <w:proofErr w:type="spellEnd"/>
      <w:r w:rsidRPr="007F00C7">
        <w:rPr>
          <w:color w:val="000000"/>
        </w:rPr>
        <w:t xml:space="preserve">. Ecol. 15, 603–620. </w:t>
      </w:r>
      <w:hyperlink r:id="rId107">
        <w:r w:rsidRPr="007F00C7">
          <w:rPr>
            <w:color w:val="4F81BD"/>
          </w:rPr>
          <w:t>https://doi.org/10.1023/A:1008183331604</w:t>
        </w:r>
      </w:hyperlink>
    </w:p>
    <w:p w14:paraId="000001DA" w14:textId="77777777" w:rsidR="001527B5" w:rsidRPr="007F00C7" w:rsidRDefault="00000000">
      <w:pPr>
        <w:pBdr>
          <w:top w:val="nil"/>
          <w:left w:val="nil"/>
          <w:bottom w:val="nil"/>
          <w:right w:val="nil"/>
          <w:between w:val="nil"/>
        </w:pBdr>
        <w:spacing w:before="180" w:after="0"/>
        <w:ind w:left="720" w:hanging="720"/>
        <w:rPr>
          <w:color w:val="000000"/>
        </w:rPr>
      </w:pPr>
      <w:bookmarkStart w:id="139" w:name="bookmark=id.1f7o1he" w:colFirst="0" w:colLast="0"/>
      <w:bookmarkEnd w:id="139"/>
      <w:r w:rsidRPr="007F00C7">
        <w:rPr>
          <w:color w:val="000000"/>
        </w:rPr>
        <w:t xml:space="preserve">Urban, D.L., O’Neill, R.V., Shugart, H.H., 1987. Landscape ecology. </w:t>
      </w:r>
      <w:proofErr w:type="spellStart"/>
      <w:r w:rsidRPr="007F00C7">
        <w:rPr>
          <w:color w:val="000000"/>
        </w:rPr>
        <w:t>BioScience</w:t>
      </w:r>
      <w:proofErr w:type="spellEnd"/>
      <w:r w:rsidRPr="007F00C7">
        <w:rPr>
          <w:color w:val="000000"/>
        </w:rPr>
        <w:t xml:space="preserve"> 37, 119–127.</w:t>
      </w:r>
    </w:p>
    <w:p w14:paraId="000001DB" w14:textId="77777777" w:rsidR="001527B5" w:rsidRPr="007F00C7" w:rsidRDefault="00000000">
      <w:pPr>
        <w:pBdr>
          <w:top w:val="nil"/>
          <w:left w:val="nil"/>
          <w:bottom w:val="nil"/>
          <w:right w:val="nil"/>
          <w:between w:val="nil"/>
        </w:pBdr>
        <w:spacing w:before="180" w:after="0"/>
        <w:ind w:left="720" w:hanging="720"/>
        <w:rPr>
          <w:color w:val="000000"/>
        </w:rPr>
      </w:pPr>
      <w:bookmarkStart w:id="140" w:name="bookmark=id.3z7bk57" w:colFirst="0" w:colLast="0"/>
      <w:bookmarkEnd w:id="140"/>
      <w:r w:rsidRPr="007F00C7">
        <w:rPr>
          <w:color w:val="000000"/>
        </w:rPr>
        <w:t xml:space="preserve">U.S. Department of Interior, Bureau of Reclamation, 2012. Colorado River Basin </w:t>
      </w:r>
      <w:r w:rsidRPr="007F00C7">
        <w:t>w</w:t>
      </w:r>
      <w:r w:rsidRPr="007F00C7">
        <w:rPr>
          <w:color w:val="000000"/>
        </w:rPr>
        <w:t xml:space="preserve">ater </w:t>
      </w:r>
      <w:r w:rsidRPr="007F00C7">
        <w:t>s</w:t>
      </w:r>
      <w:r w:rsidRPr="007F00C7">
        <w:rPr>
          <w:color w:val="000000"/>
        </w:rPr>
        <w:t xml:space="preserve">upply and </w:t>
      </w:r>
      <w:r w:rsidRPr="007F00C7">
        <w:t>d</w:t>
      </w:r>
      <w:r w:rsidRPr="007F00C7">
        <w:rPr>
          <w:color w:val="000000"/>
        </w:rPr>
        <w:t xml:space="preserve">emand </w:t>
      </w:r>
      <w:r w:rsidRPr="007F00C7">
        <w:t>s</w:t>
      </w:r>
      <w:r w:rsidRPr="007F00C7">
        <w:rPr>
          <w:color w:val="000000"/>
        </w:rPr>
        <w:t>tudy: Executive Summary. U.S. Department of Interior, Bureau of Reclamation.</w:t>
      </w:r>
    </w:p>
    <w:p w14:paraId="000001DC" w14:textId="77777777" w:rsidR="001527B5" w:rsidRPr="007F00C7" w:rsidRDefault="00000000">
      <w:pPr>
        <w:pBdr>
          <w:top w:val="nil"/>
          <w:left w:val="nil"/>
          <w:bottom w:val="nil"/>
          <w:right w:val="nil"/>
          <w:between w:val="nil"/>
        </w:pBdr>
        <w:spacing w:before="180" w:after="0"/>
        <w:ind w:left="720" w:hanging="720"/>
        <w:rPr>
          <w:color w:val="000000"/>
        </w:rPr>
      </w:pPr>
      <w:bookmarkStart w:id="141" w:name="bookmark=id.2eclud0" w:colFirst="0" w:colLast="0"/>
      <w:bookmarkEnd w:id="141"/>
      <w:r w:rsidRPr="007F00C7">
        <w:rPr>
          <w:color w:val="000000"/>
        </w:rPr>
        <w:t>U.S. Geological Survey, 2017. 1/3rd Arc-Second Digital Elevation Models (DEMs)</w:t>
      </w:r>
      <w:r w:rsidRPr="007F00C7">
        <w:t xml:space="preserve"> [dataset]. </w:t>
      </w:r>
      <w:r w:rsidRPr="007F00C7">
        <w:rPr>
          <w:color w:val="000000"/>
        </w:rPr>
        <w:t>USGS National Map 3DEP Downloadable Data Collection. https://data.usgs.gov/datacatalog/data/USGS:3a81321b-c153-416f-98b7-cc8e5f0e17c3</w:t>
      </w:r>
    </w:p>
    <w:p w14:paraId="000001DD" w14:textId="77777777" w:rsidR="001527B5" w:rsidRPr="007F00C7" w:rsidRDefault="00000000">
      <w:pPr>
        <w:pBdr>
          <w:top w:val="nil"/>
          <w:left w:val="nil"/>
          <w:bottom w:val="nil"/>
          <w:right w:val="nil"/>
          <w:between w:val="nil"/>
        </w:pBdr>
        <w:spacing w:before="180" w:after="0"/>
        <w:ind w:left="720" w:hanging="720"/>
        <w:rPr>
          <w:color w:val="000000"/>
        </w:rPr>
      </w:pPr>
      <w:bookmarkStart w:id="142" w:name="bookmark=id.thw4kt" w:colFirst="0" w:colLast="0"/>
      <w:bookmarkEnd w:id="142"/>
      <w:r w:rsidRPr="007F00C7">
        <w:rPr>
          <w:color w:val="000000"/>
        </w:rPr>
        <w:t xml:space="preserve">Van </w:t>
      </w:r>
      <w:proofErr w:type="spellStart"/>
      <w:r w:rsidRPr="007F00C7">
        <w:rPr>
          <w:color w:val="000000"/>
        </w:rPr>
        <w:t>Mantgem</w:t>
      </w:r>
      <w:proofErr w:type="spellEnd"/>
      <w:r w:rsidRPr="007F00C7">
        <w:rPr>
          <w:color w:val="000000"/>
        </w:rPr>
        <w:t xml:space="preserve">, P.J., Nesmith, J.C.B., </w:t>
      </w:r>
      <w:proofErr w:type="spellStart"/>
      <w:r w:rsidRPr="007F00C7">
        <w:rPr>
          <w:color w:val="000000"/>
        </w:rPr>
        <w:t>Keifer</w:t>
      </w:r>
      <w:proofErr w:type="spellEnd"/>
      <w:r w:rsidRPr="007F00C7">
        <w:rPr>
          <w:color w:val="000000"/>
        </w:rPr>
        <w:t>, M., Knapp, E.E., Flint, A., Flint, L., 2013. Climatic stress increases forest fire severity across the western United States. Eco</w:t>
      </w:r>
      <w:r w:rsidRPr="007F00C7">
        <w:t>l.</w:t>
      </w:r>
      <w:r w:rsidRPr="007F00C7">
        <w:rPr>
          <w:color w:val="000000"/>
        </w:rPr>
        <w:t xml:space="preserve"> </w:t>
      </w:r>
      <w:r w:rsidRPr="007F00C7">
        <w:t>Lett.</w:t>
      </w:r>
      <w:r w:rsidRPr="007F00C7">
        <w:rPr>
          <w:color w:val="000000"/>
        </w:rPr>
        <w:t xml:space="preserve"> 16, 1151–1156. </w:t>
      </w:r>
      <w:hyperlink r:id="rId108">
        <w:r w:rsidRPr="007F00C7">
          <w:rPr>
            <w:color w:val="4F81BD"/>
          </w:rPr>
          <w:t>https://doi.org/10.1111/ele.12151</w:t>
        </w:r>
      </w:hyperlink>
    </w:p>
    <w:p w14:paraId="000001DE" w14:textId="77777777" w:rsidR="001527B5" w:rsidRPr="007F00C7" w:rsidRDefault="00000000">
      <w:pPr>
        <w:pBdr>
          <w:top w:val="nil"/>
          <w:left w:val="nil"/>
          <w:bottom w:val="nil"/>
          <w:right w:val="nil"/>
          <w:between w:val="nil"/>
        </w:pBdr>
        <w:spacing w:before="180" w:after="0"/>
        <w:ind w:left="720" w:hanging="720"/>
        <w:rPr>
          <w:color w:val="000000"/>
        </w:rPr>
      </w:pPr>
      <w:bookmarkStart w:id="143" w:name="bookmark=id.3dhjn8m" w:colFirst="0" w:colLast="0"/>
      <w:bookmarkEnd w:id="143"/>
      <w:r w:rsidRPr="007F00C7">
        <w:rPr>
          <w:color w:val="000000"/>
        </w:rPr>
        <w:t xml:space="preserve">Veatch, W., Brooks, P.D., Gustafson, J.R., </w:t>
      </w:r>
      <w:proofErr w:type="spellStart"/>
      <w:r w:rsidRPr="007F00C7">
        <w:rPr>
          <w:color w:val="000000"/>
        </w:rPr>
        <w:t>Molotch</w:t>
      </w:r>
      <w:proofErr w:type="spellEnd"/>
      <w:r w:rsidRPr="007F00C7">
        <w:rPr>
          <w:color w:val="000000"/>
        </w:rPr>
        <w:t xml:space="preserve">, N.P., 2009. Quantifying the effects of forest canopy cover on net snow accumulation at a continental, mid-latitude site. </w:t>
      </w:r>
      <w:proofErr w:type="spellStart"/>
      <w:r w:rsidRPr="007F00C7">
        <w:rPr>
          <w:color w:val="000000"/>
        </w:rPr>
        <w:t>Ecohydrol</w:t>
      </w:r>
      <w:proofErr w:type="spellEnd"/>
      <w:r w:rsidRPr="007F00C7">
        <w:rPr>
          <w:color w:val="000000"/>
        </w:rPr>
        <w:t xml:space="preserve">. 2, 115–128. </w:t>
      </w:r>
      <w:hyperlink r:id="rId109">
        <w:r w:rsidRPr="007F00C7">
          <w:rPr>
            <w:color w:val="4F81BD"/>
          </w:rPr>
          <w:t>https://doi.org/10.1002/eco.45</w:t>
        </w:r>
      </w:hyperlink>
    </w:p>
    <w:p w14:paraId="000001DF" w14:textId="77777777" w:rsidR="001527B5" w:rsidRPr="007F00C7" w:rsidRDefault="00000000">
      <w:pPr>
        <w:pBdr>
          <w:top w:val="nil"/>
          <w:left w:val="nil"/>
          <w:bottom w:val="nil"/>
          <w:right w:val="nil"/>
          <w:between w:val="nil"/>
        </w:pBdr>
        <w:spacing w:before="180" w:after="0"/>
        <w:ind w:left="720" w:hanging="720"/>
        <w:rPr>
          <w:color w:val="000000"/>
        </w:rPr>
      </w:pPr>
      <w:bookmarkStart w:id="144" w:name="bookmark=id.1smtxgf" w:colFirst="0" w:colLast="0"/>
      <w:bookmarkEnd w:id="144"/>
      <w:r w:rsidRPr="007F00C7">
        <w:rPr>
          <w:color w:val="000000"/>
        </w:rPr>
        <w:t xml:space="preserve">Veblen, T.T., 1986. Age and size structure of subalpine forests in the Colorado Front Range. Bull. Torrey Bot. Club 113, 225. </w:t>
      </w:r>
      <w:hyperlink r:id="rId110">
        <w:r w:rsidRPr="007F00C7">
          <w:rPr>
            <w:color w:val="4F81BD"/>
          </w:rPr>
          <w:t>https://doi.org/10.2307/2996361</w:t>
        </w:r>
      </w:hyperlink>
    </w:p>
    <w:p w14:paraId="000001E0" w14:textId="77777777" w:rsidR="001527B5" w:rsidRPr="007F00C7" w:rsidRDefault="00000000">
      <w:pPr>
        <w:pBdr>
          <w:top w:val="nil"/>
          <w:left w:val="nil"/>
          <w:bottom w:val="nil"/>
          <w:right w:val="nil"/>
          <w:between w:val="nil"/>
        </w:pBdr>
        <w:spacing w:before="180" w:after="0"/>
        <w:ind w:left="720" w:hanging="720"/>
        <w:rPr>
          <w:color w:val="000000"/>
        </w:rPr>
      </w:pPr>
      <w:bookmarkStart w:id="145" w:name="bookmark=id.4cmhg48" w:colFirst="0" w:colLast="0"/>
      <w:bookmarkEnd w:id="145"/>
      <w:r w:rsidRPr="007F00C7">
        <w:rPr>
          <w:color w:val="000000"/>
        </w:rPr>
        <w:t xml:space="preserve">Wainwright, H.M., </w:t>
      </w:r>
      <w:proofErr w:type="spellStart"/>
      <w:r w:rsidRPr="007F00C7">
        <w:rPr>
          <w:color w:val="000000"/>
        </w:rPr>
        <w:t>Uhlemann</w:t>
      </w:r>
      <w:proofErr w:type="spellEnd"/>
      <w:r w:rsidRPr="007F00C7">
        <w:rPr>
          <w:color w:val="000000"/>
        </w:rPr>
        <w:t xml:space="preserve">, S., Franklin, M., Falco, N., </w:t>
      </w:r>
      <w:proofErr w:type="spellStart"/>
      <w:r w:rsidRPr="007F00C7">
        <w:rPr>
          <w:color w:val="000000"/>
        </w:rPr>
        <w:t>Bouskill</w:t>
      </w:r>
      <w:proofErr w:type="spellEnd"/>
      <w:r w:rsidRPr="007F00C7">
        <w:rPr>
          <w:color w:val="000000"/>
        </w:rPr>
        <w:t xml:space="preserve">, N.J., Newcomer, M.E., </w:t>
      </w:r>
      <w:proofErr w:type="spellStart"/>
      <w:r w:rsidRPr="007F00C7">
        <w:rPr>
          <w:color w:val="000000"/>
        </w:rPr>
        <w:t>Dafflon</w:t>
      </w:r>
      <w:proofErr w:type="spellEnd"/>
      <w:r w:rsidRPr="007F00C7">
        <w:rPr>
          <w:color w:val="000000"/>
        </w:rPr>
        <w:t xml:space="preserve">, B., </w:t>
      </w:r>
      <w:proofErr w:type="spellStart"/>
      <w:r w:rsidRPr="007F00C7">
        <w:rPr>
          <w:color w:val="000000"/>
        </w:rPr>
        <w:t>Siirila</w:t>
      </w:r>
      <w:proofErr w:type="spellEnd"/>
      <w:r w:rsidRPr="007F00C7">
        <w:rPr>
          <w:color w:val="000000"/>
        </w:rPr>
        <w:t xml:space="preserve">-Woodburn, E.R., </w:t>
      </w:r>
      <w:proofErr w:type="spellStart"/>
      <w:r w:rsidRPr="007F00C7">
        <w:rPr>
          <w:color w:val="000000"/>
        </w:rPr>
        <w:t>Minsley</w:t>
      </w:r>
      <w:proofErr w:type="spellEnd"/>
      <w:r w:rsidRPr="007F00C7">
        <w:rPr>
          <w:color w:val="000000"/>
        </w:rPr>
        <w:t xml:space="preserve">, B.J., Williams, K.H., Hubbard, S.S., 2022. Watershed zonation through hillslope clustering for tractably quantifying above- and below-ground watershed heterogeneity and functions. </w:t>
      </w:r>
      <w:proofErr w:type="spellStart"/>
      <w:r w:rsidRPr="007F00C7">
        <w:rPr>
          <w:color w:val="000000"/>
        </w:rPr>
        <w:t>Hydrol</w:t>
      </w:r>
      <w:proofErr w:type="spellEnd"/>
      <w:r w:rsidRPr="007F00C7">
        <w:rPr>
          <w:color w:val="000000"/>
        </w:rPr>
        <w:t xml:space="preserve">. Earth Syst. Sci. 26, 429–444. </w:t>
      </w:r>
      <w:hyperlink r:id="rId111">
        <w:r w:rsidRPr="007F00C7">
          <w:rPr>
            <w:color w:val="4F81BD"/>
          </w:rPr>
          <w:t>https://doi.org/10.5194/hess-26-429-2022</w:t>
        </w:r>
      </w:hyperlink>
    </w:p>
    <w:p w14:paraId="000001E1" w14:textId="77777777" w:rsidR="001527B5" w:rsidRPr="007F00C7" w:rsidRDefault="00000000">
      <w:pPr>
        <w:pBdr>
          <w:top w:val="nil"/>
          <w:left w:val="nil"/>
          <w:bottom w:val="nil"/>
          <w:right w:val="nil"/>
          <w:between w:val="nil"/>
        </w:pBdr>
        <w:spacing w:before="180" w:after="0"/>
        <w:ind w:left="720" w:hanging="720"/>
        <w:rPr>
          <w:color w:val="000000"/>
        </w:rPr>
      </w:pPr>
      <w:bookmarkStart w:id="146" w:name="bookmark=id.2rrrqc1" w:colFirst="0" w:colLast="0"/>
      <w:bookmarkEnd w:id="146"/>
      <w:r w:rsidRPr="007F00C7">
        <w:rPr>
          <w:color w:val="000000"/>
        </w:rPr>
        <w:lastRenderedPageBreak/>
        <w:t xml:space="preserve">Whipple, S.A., Dix, R.L., 1979. Age </w:t>
      </w:r>
      <w:r w:rsidRPr="007F00C7">
        <w:t>s</w:t>
      </w:r>
      <w:r w:rsidRPr="007F00C7">
        <w:rPr>
          <w:color w:val="000000"/>
        </w:rPr>
        <w:t xml:space="preserve">tructure and </w:t>
      </w:r>
      <w:r w:rsidRPr="007F00C7">
        <w:t>s</w:t>
      </w:r>
      <w:r w:rsidRPr="007F00C7">
        <w:rPr>
          <w:color w:val="000000"/>
        </w:rPr>
        <w:t xml:space="preserve">uccessional </w:t>
      </w:r>
      <w:r w:rsidRPr="007F00C7">
        <w:t>d</w:t>
      </w:r>
      <w:r w:rsidRPr="007F00C7">
        <w:rPr>
          <w:color w:val="000000"/>
        </w:rPr>
        <w:t xml:space="preserve">ynamics of a Colorado </w:t>
      </w:r>
      <w:r w:rsidRPr="007F00C7">
        <w:t>s</w:t>
      </w:r>
      <w:r w:rsidRPr="007F00C7">
        <w:rPr>
          <w:color w:val="000000"/>
        </w:rPr>
        <w:t xml:space="preserve">ubalpine </w:t>
      </w:r>
      <w:r w:rsidRPr="007F00C7">
        <w:t>f</w:t>
      </w:r>
      <w:r w:rsidRPr="007F00C7">
        <w:rPr>
          <w:color w:val="000000"/>
        </w:rPr>
        <w:t xml:space="preserve">orest. Am. </w:t>
      </w:r>
      <w:proofErr w:type="spellStart"/>
      <w:r w:rsidRPr="007F00C7">
        <w:rPr>
          <w:color w:val="000000"/>
        </w:rPr>
        <w:t>Midl</w:t>
      </w:r>
      <w:proofErr w:type="spellEnd"/>
      <w:r w:rsidRPr="007F00C7">
        <w:rPr>
          <w:color w:val="000000"/>
        </w:rPr>
        <w:t xml:space="preserve">. Nat. 101, 142. </w:t>
      </w:r>
      <w:hyperlink r:id="rId112">
        <w:r w:rsidRPr="007F00C7">
          <w:rPr>
            <w:color w:val="4F81BD"/>
          </w:rPr>
          <w:t>https://doi.org/10.2307/2424909</w:t>
        </w:r>
      </w:hyperlink>
    </w:p>
    <w:p w14:paraId="000001E2" w14:textId="77777777" w:rsidR="001527B5" w:rsidRPr="007F00C7" w:rsidRDefault="00000000">
      <w:pPr>
        <w:pBdr>
          <w:top w:val="nil"/>
          <w:left w:val="nil"/>
          <w:bottom w:val="nil"/>
          <w:right w:val="nil"/>
          <w:between w:val="nil"/>
        </w:pBdr>
        <w:spacing w:before="180" w:after="0"/>
        <w:ind w:left="720" w:hanging="720"/>
        <w:rPr>
          <w:color w:val="000000"/>
        </w:rPr>
      </w:pPr>
      <w:bookmarkStart w:id="147" w:name="bookmark=id.16x20ju" w:colFirst="0" w:colLast="0"/>
      <w:bookmarkEnd w:id="147"/>
      <w:r w:rsidRPr="007F00C7">
        <w:rPr>
          <w:color w:val="000000"/>
        </w:rPr>
        <w:t xml:space="preserve">Whittaker, R.H., 1953. A </w:t>
      </w:r>
      <w:r w:rsidRPr="007F00C7">
        <w:t>c</w:t>
      </w:r>
      <w:r w:rsidRPr="007F00C7">
        <w:rPr>
          <w:color w:val="000000"/>
        </w:rPr>
        <w:t xml:space="preserve">onsideration of </w:t>
      </w:r>
      <w:r w:rsidRPr="007F00C7">
        <w:t>c</w:t>
      </w:r>
      <w:r w:rsidRPr="007F00C7">
        <w:rPr>
          <w:color w:val="000000"/>
        </w:rPr>
        <w:t xml:space="preserve">limax </w:t>
      </w:r>
      <w:r w:rsidRPr="007F00C7">
        <w:t>t</w:t>
      </w:r>
      <w:r w:rsidRPr="007F00C7">
        <w:rPr>
          <w:color w:val="000000"/>
        </w:rPr>
        <w:t xml:space="preserve">heory: The </w:t>
      </w:r>
      <w:r w:rsidRPr="007F00C7">
        <w:t>c</w:t>
      </w:r>
      <w:r w:rsidRPr="007F00C7">
        <w:rPr>
          <w:color w:val="000000"/>
        </w:rPr>
        <w:t xml:space="preserve">limax as a </w:t>
      </w:r>
      <w:r w:rsidRPr="007F00C7">
        <w:t>p</w:t>
      </w:r>
      <w:r w:rsidRPr="007F00C7">
        <w:rPr>
          <w:color w:val="000000"/>
        </w:rPr>
        <w:t xml:space="preserve">opulation and </w:t>
      </w:r>
      <w:r w:rsidRPr="007F00C7">
        <w:t>p</w:t>
      </w:r>
      <w:r w:rsidRPr="007F00C7">
        <w:rPr>
          <w:color w:val="000000"/>
        </w:rPr>
        <w:t xml:space="preserve">attern. Ecol. </w:t>
      </w:r>
      <w:proofErr w:type="spellStart"/>
      <w:r w:rsidRPr="007F00C7">
        <w:rPr>
          <w:color w:val="000000"/>
        </w:rPr>
        <w:t>Monogr</w:t>
      </w:r>
      <w:proofErr w:type="spellEnd"/>
      <w:r w:rsidRPr="007F00C7">
        <w:rPr>
          <w:color w:val="000000"/>
        </w:rPr>
        <w:t xml:space="preserve">. 23, 41–78. </w:t>
      </w:r>
      <w:hyperlink r:id="rId113">
        <w:r w:rsidRPr="007F00C7">
          <w:rPr>
            <w:color w:val="4F81BD"/>
          </w:rPr>
          <w:t>https://doi.org/10.2307/1943519</w:t>
        </w:r>
      </w:hyperlink>
    </w:p>
    <w:p w14:paraId="000001E3" w14:textId="77777777" w:rsidR="001527B5" w:rsidRPr="007F00C7" w:rsidRDefault="00000000">
      <w:pPr>
        <w:pBdr>
          <w:top w:val="nil"/>
          <w:left w:val="nil"/>
          <w:bottom w:val="nil"/>
          <w:right w:val="nil"/>
          <w:between w:val="nil"/>
        </w:pBdr>
        <w:spacing w:before="180" w:after="0"/>
        <w:ind w:left="720" w:hanging="720"/>
        <w:rPr>
          <w:color w:val="000000"/>
        </w:rPr>
      </w:pPr>
      <w:bookmarkStart w:id="148" w:name="bookmark=id.3qwpj7n" w:colFirst="0" w:colLast="0"/>
      <w:bookmarkEnd w:id="148"/>
      <w:r w:rsidRPr="007F00C7">
        <w:rPr>
          <w:color w:val="000000"/>
        </w:rPr>
        <w:t xml:space="preserve">Whittaker, R.H., </w:t>
      </w:r>
      <w:proofErr w:type="spellStart"/>
      <w:r w:rsidRPr="007F00C7">
        <w:rPr>
          <w:color w:val="000000"/>
        </w:rPr>
        <w:t>Niering</w:t>
      </w:r>
      <w:proofErr w:type="spellEnd"/>
      <w:r w:rsidRPr="007F00C7">
        <w:rPr>
          <w:color w:val="000000"/>
        </w:rPr>
        <w:t>, W.A., 1964. Vegetation of the Santa Catalina Mountains, Arizona</w:t>
      </w:r>
      <w:r w:rsidRPr="007F00C7">
        <w:t>:</w:t>
      </w:r>
      <w:r w:rsidRPr="007F00C7">
        <w:rPr>
          <w:color w:val="000000"/>
        </w:rPr>
        <w:t xml:space="preserve"> I. Ecological </w:t>
      </w:r>
      <w:r w:rsidRPr="007F00C7">
        <w:t>c</w:t>
      </w:r>
      <w:r w:rsidRPr="007F00C7">
        <w:rPr>
          <w:color w:val="000000"/>
        </w:rPr>
        <w:t xml:space="preserve">lassification and </w:t>
      </w:r>
      <w:r w:rsidRPr="007F00C7">
        <w:t>d</w:t>
      </w:r>
      <w:r w:rsidRPr="007F00C7">
        <w:rPr>
          <w:color w:val="000000"/>
        </w:rPr>
        <w:t xml:space="preserve">istribution of </w:t>
      </w:r>
      <w:r w:rsidRPr="007F00C7">
        <w:t>s</w:t>
      </w:r>
      <w:r w:rsidRPr="007F00C7">
        <w:rPr>
          <w:color w:val="000000"/>
        </w:rPr>
        <w:t xml:space="preserve">pecies. J. Ariz. Acad. Sci. 3, 9. </w:t>
      </w:r>
      <w:hyperlink r:id="rId114">
        <w:r w:rsidRPr="007F00C7">
          <w:rPr>
            <w:color w:val="4F81BD"/>
          </w:rPr>
          <w:t>https://doi.org/10.2307/40021924</w:t>
        </w:r>
      </w:hyperlink>
    </w:p>
    <w:p w14:paraId="000001E4" w14:textId="77777777" w:rsidR="001527B5" w:rsidRPr="007F00C7" w:rsidRDefault="00000000">
      <w:pPr>
        <w:pBdr>
          <w:top w:val="nil"/>
          <w:left w:val="nil"/>
          <w:bottom w:val="nil"/>
          <w:right w:val="nil"/>
          <w:between w:val="nil"/>
        </w:pBdr>
        <w:spacing w:before="180" w:after="0"/>
        <w:ind w:left="720" w:hanging="720"/>
        <w:rPr>
          <w:color w:val="000000"/>
        </w:rPr>
      </w:pPr>
      <w:bookmarkStart w:id="149" w:name="bookmark=id.261ztfg" w:colFirst="0" w:colLast="0"/>
      <w:bookmarkEnd w:id="149"/>
      <w:r w:rsidRPr="007F00C7">
        <w:rPr>
          <w:color w:val="000000"/>
        </w:rPr>
        <w:t xml:space="preserve">Whittaker, R.J., </w:t>
      </w:r>
      <w:proofErr w:type="spellStart"/>
      <w:r w:rsidRPr="007F00C7">
        <w:rPr>
          <w:color w:val="000000"/>
        </w:rPr>
        <w:t>Nogués</w:t>
      </w:r>
      <w:proofErr w:type="spellEnd"/>
      <w:r w:rsidRPr="007F00C7">
        <w:rPr>
          <w:color w:val="000000"/>
        </w:rPr>
        <w:t xml:space="preserve">-Bravo, D., Araújo, M.B., 2007. Geographical gradients of species richness: A test of the water-energy conjecture of Hawkins </w:t>
      </w:r>
      <w:r w:rsidRPr="007F00C7">
        <w:rPr>
          <w:i/>
          <w:color w:val="000000"/>
        </w:rPr>
        <w:t>et al.</w:t>
      </w:r>
      <w:r w:rsidRPr="007F00C7">
        <w:rPr>
          <w:color w:val="000000"/>
        </w:rPr>
        <w:t xml:space="preserve"> (2003) using European data for five taxa. Glob. Ecol. </w:t>
      </w:r>
      <w:proofErr w:type="spellStart"/>
      <w:r w:rsidRPr="007F00C7">
        <w:rPr>
          <w:color w:val="000000"/>
        </w:rPr>
        <w:t>Biogeogr</w:t>
      </w:r>
      <w:proofErr w:type="spellEnd"/>
      <w:r w:rsidRPr="007F00C7">
        <w:rPr>
          <w:color w:val="000000"/>
        </w:rPr>
        <w:t xml:space="preserve">. 16, 76–89. </w:t>
      </w:r>
      <w:hyperlink r:id="rId115">
        <w:r w:rsidRPr="007F00C7">
          <w:rPr>
            <w:color w:val="4F81BD"/>
          </w:rPr>
          <w:t>https://doi.org/10.1111/j.1466-8238.2006.00268.x</w:t>
        </w:r>
      </w:hyperlink>
    </w:p>
    <w:p w14:paraId="000001E5" w14:textId="77777777" w:rsidR="001527B5" w:rsidRPr="007F00C7" w:rsidRDefault="00000000">
      <w:pPr>
        <w:pBdr>
          <w:top w:val="nil"/>
          <w:left w:val="nil"/>
          <w:bottom w:val="nil"/>
          <w:right w:val="nil"/>
          <w:between w:val="nil"/>
        </w:pBdr>
        <w:spacing w:before="180" w:after="0"/>
        <w:ind w:left="720" w:hanging="720"/>
        <w:rPr>
          <w:color w:val="000000"/>
        </w:rPr>
      </w:pPr>
      <w:bookmarkStart w:id="150" w:name="bookmark=id.l7a3n9" w:colFirst="0" w:colLast="0"/>
      <w:bookmarkEnd w:id="150"/>
      <w:r w:rsidRPr="007F00C7">
        <w:rPr>
          <w:color w:val="000000"/>
        </w:rPr>
        <w:t xml:space="preserve">Williams, A.P., Cook, B.I., </w:t>
      </w:r>
      <w:proofErr w:type="spellStart"/>
      <w:r w:rsidRPr="007F00C7">
        <w:rPr>
          <w:color w:val="000000"/>
        </w:rPr>
        <w:t>Smerdon</w:t>
      </w:r>
      <w:proofErr w:type="spellEnd"/>
      <w:r w:rsidRPr="007F00C7">
        <w:rPr>
          <w:color w:val="000000"/>
        </w:rPr>
        <w:t xml:space="preserve">, J.E., 2022. Rapid intensification of the emerging southwestern North American megadrought in 2020–2021. Nat. </w:t>
      </w:r>
      <w:proofErr w:type="spellStart"/>
      <w:r w:rsidRPr="007F00C7">
        <w:rPr>
          <w:color w:val="000000"/>
        </w:rPr>
        <w:t>Clim</w:t>
      </w:r>
      <w:proofErr w:type="spellEnd"/>
      <w:r w:rsidRPr="007F00C7">
        <w:rPr>
          <w:color w:val="000000"/>
        </w:rPr>
        <w:t xml:space="preserve">. Chang. 12, 232–234. </w:t>
      </w:r>
      <w:hyperlink r:id="rId116">
        <w:r w:rsidRPr="007F00C7">
          <w:rPr>
            <w:color w:val="4F81BD"/>
          </w:rPr>
          <w:t>https://doi.org/10.1038/s41558-022-01290-z</w:t>
        </w:r>
      </w:hyperlink>
    </w:p>
    <w:p w14:paraId="000001E6" w14:textId="77777777" w:rsidR="001527B5" w:rsidRPr="007F00C7" w:rsidRDefault="00000000">
      <w:pPr>
        <w:pBdr>
          <w:top w:val="nil"/>
          <w:left w:val="nil"/>
          <w:bottom w:val="nil"/>
          <w:right w:val="nil"/>
          <w:between w:val="nil"/>
        </w:pBdr>
        <w:spacing w:before="180" w:after="0"/>
        <w:ind w:left="720" w:hanging="720"/>
        <w:rPr>
          <w:color w:val="000000"/>
        </w:rPr>
      </w:pPr>
      <w:bookmarkStart w:id="151" w:name="bookmark=id.356xmb2" w:colFirst="0" w:colLast="0"/>
      <w:bookmarkEnd w:id="151"/>
      <w:r w:rsidRPr="007F00C7">
        <w:rPr>
          <w:color w:val="000000"/>
        </w:rPr>
        <w:t xml:space="preserve">Wood, S.N., 2017. Generalized </w:t>
      </w:r>
      <w:r w:rsidRPr="007F00C7">
        <w:t>a</w:t>
      </w:r>
      <w:r w:rsidRPr="007F00C7">
        <w:rPr>
          <w:color w:val="000000"/>
        </w:rPr>
        <w:t xml:space="preserve">dditive </w:t>
      </w:r>
      <w:r w:rsidRPr="007F00C7">
        <w:t>m</w:t>
      </w:r>
      <w:r w:rsidRPr="007F00C7">
        <w:rPr>
          <w:color w:val="000000"/>
        </w:rPr>
        <w:t xml:space="preserve">odels: An </w:t>
      </w:r>
      <w:r w:rsidRPr="007F00C7">
        <w:t>i</w:t>
      </w:r>
      <w:r w:rsidRPr="007F00C7">
        <w:rPr>
          <w:color w:val="000000"/>
        </w:rPr>
        <w:t xml:space="preserve">ntroduction with R, </w:t>
      </w:r>
      <w:r w:rsidRPr="007F00C7">
        <w:t>second</w:t>
      </w:r>
      <w:r w:rsidRPr="007F00C7">
        <w:rPr>
          <w:color w:val="000000"/>
        </w:rPr>
        <w:t xml:space="preserve"> ed. Chapman and Hall/CRC</w:t>
      </w:r>
      <w:r w:rsidRPr="007F00C7">
        <w:t xml:space="preserve">, Boca Raton. </w:t>
      </w:r>
    </w:p>
    <w:p w14:paraId="000001E7" w14:textId="77777777" w:rsidR="001527B5" w:rsidRPr="007F00C7" w:rsidRDefault="00000000">
      <w:pPr>
        <w:pBdr>
          <w:top w:val="nil"/>
          <w:left w:val="nil"/>
          <w:bottom w:val="nil"/>
          <w:right w:val="nil"/>
          <w:between w:val="nil"/>
        </w:pBdr>
        <w:spacing w:before="180" w:after="0"/>
        <w:ind w:left="720" w:hanging="720"/>
        <w:rPr>
          <w:color w:val="000000"/>
        </w:rPr>
      </w:pPr>
      <w:bookmarkStart w:id="152" w:name="bookmark=id.1kc7wiv" w:colFirst="0" w:colLast="0"/>
      <w:bookmarkEnd w:id="152"/>
      <w:r w:rsidRPr="007F00C7">
        <w:rPr>
          <w:color w:val="000000"/>
        </w:rPr>
        <w:t xml:space="preserve">Zhang, J., Nielsen, S.E., Mao, L., Chen, S., </w:t>
      </w:r>
      <w:proofErr w:type="spellStart"/>
      <w:r w:rsidRPr="007F00C7">
        <w:rPr>
          <w:color w:val="000000"/>
        </w:rPr>
        <w:t>Svenning</w:t>
      </w:r>
      <w:proofErr w:type="spellEnd"/>
      <w:r w:rsidRPr="007F00C7">
        <w:rPr>
          <w:color w:val="000000"/>
        </w:rPr>
        <w:t xml:space="preserve">, J.-C., 2016. Regional and historical factors supplement current climate in shaping global forest canopy height. J. Ecol. 104, 469–478. </w:t>
      </w:r>
      <w:hyperlink r:id="rId117">
        <w:r w:rsidRPr="007F00C7">
          <w:rPr>
            <w:color w:val="4F81BD"/>
          </w:rPr>
          <w:t>https://doi.org/10.1111/1365-2745.12510</w:t>
        </w:r>
      </w:hyperlink>
    </w:p>
    <w:p w14:paraId="000001E8" w14:textId="77777777" w:rsidR="001527B5" w:rsidRPr="007F00C7" w:rsidRDefault="00000000">
      <w:pPr>
        <w:pBdr>
          <w:top w:val="nil"/>
          <w:left w:val="nil"/>
          <w:bottom w:val="nil"/>
          <w:right w:val="nil"/>
          <w:between w:val="nil"/>
        </w:pBdr>
        <w:spacing w:before="180" w:after="0"/>
        <w:ind w:left="720" w:hanging="720"/>
      </w:pPr>
      <w:bookmarkStart w:id="153" w:name="bookmark=id.44bvf6o" w:colFirst="0" w:colLast="0"/>
      <w:bookmarkEnd w:id="153"/>
      <w:r w:rsidRPr="007F00C7">
        <w:rPr>
          <w:color w:val="000000"/>
        </w:rPr>
        <w:t xml:space="preserve">Zhou, T., Popescu, S., 2019. </w:t>
      </w:r>
      <w:proofErr w:type="spellStart"/>
      <w:r w:rsidRPr="007F00C7">
        <w:rPr>
          <w:color w:val="000000"/>
        </w:rPr>
        <w:t>Waveformlidar</w:t>
      </w:r>
      <w:proofErr w:type="spellEnd"/>
      <w:r w:rsidRPr="007F00C7">
        <w:rPr>
          <w:color w:val="000000"/>
        </w:rPr>
        <w:t xml:space="preserve">: An R package for waveform LiDAR processing and analysis. Remote Sens. 11, 1–19. </w:t>
      </w:r>
      <w:hyperlink r:id="rId118">
        <w:r w:rsidRPr="007F00C7">
          <w:rPr>
            <w:color w:val="4F81BD"/>
          </w:rPr>
          <w:t>https://doi.org/10.3390/rs11212552</w:t>
        </w:r>
      </w:hyperlink>
    </w:p>
    <w:p w14:paraId="000001E9" w14:textId="77777777" w:rsidR="001527B5" w:rsidRPr="007F00C7" w:rsidRDefault="00000000" w:rsidP="00BF3615">
      <w:pPr>
        <w:spacing w:before="180" w:after="0"/>
        <w:ind w:left="720" w:hanging="720"/>
      </w:pPr>
      <w:bookmarkStart w:id="154" w:name="bookmark=kix.6xvudtqijhcj" w:colFirst="0" w:colLast="0"/>
      <w:bookmarkEnd w:id="154"/>
      <w:r w:rsidRPr="007F00C7">
        <w:t xml:space="preserve">Zhou, T., Popescu, S., 2020. </w:t>
      </w:r>
      <w:proofErr w:type="spellStart"/>
      <w:r w:rsidRPr="007F00C7">
        <w:t>waveformlidar</w:t>
      </w:r>
      <w:proofErr w:type="spellEnd"/>
      <w:r w:rsidRPr="007F00C7">
        <w:t xml:space="preserve">: Waveform LiDAR data processing and analysis. R package v1.2.5, commit 5e689ccfb3f7ab1f2743a3a515923971e0735263. </w:t>
      </w:r>
      <w:hyperlink r:id="rId119">
        <w:r w:rsidRPr="007F00C7">
          <w:rPr>
            <w:color w:val="4F81BD"/>
          </w:rPr>
          <w:t>https://github.com/tankwin08/waveformlidar</w:t>
        </w:r>
      </w:hyperlink>
    </w:p>
    <w:sectPr w:rsidR="001527B5" w:rsidRPr="007F00C7">
      <w:pgSz w:w="12240" w:h="15840"/>
      <w:pgMar w:top="1440" w:right="1440" w:bottom="1440" w:left="1440" w:header="720" w:footer="720" w:gutter="0"/>
      <w:lnNumType w:countBy="1" w:restart="continuou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E5BFDD" w14:textId="77777777" w:rsidR="00B202E3" w:rsidRDefault="00B202E3">
      <w:pPr>
        <w:spacing w:after="0"/>
      </w:pPr>
      <w:r>
        <w:separator/>
      </w:r>
    </w:p>
  </w:endnote>
  <w:endnote w:type="continuationSeparator" w:id="0">
    <w:p w14:paraId="17761B3B" w14:textId="77777777" w:rsidR="00B202E3" w:rsidRDefault="00B202E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Book Antiqua">
    <w:panose1 w:val="02040602050305030304"/>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Gungsuh">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EB" w14:textId="1E68B202" w:rsidR="001527B5" w:rsidRDefault="00000000">
    <w:pPr>
      <w:pBdr>
        <w:top w:val="nil"/>
        <w:left w:val="nil"/>
        <w:bottom w:val="nil"/>
        <w:right w:val="nil"/>
        <w:between w:val="nil"/>
      </w:pBdr>
      <w:tabs>
        <w:tab w:val="center" w:pos="4680"/>
        <w:tab w:val="right" w:pos="9360"/>
      </w:tabs>
      <w:spacing w:after="0"/>
      <w:jc w:val="right"/>
      <w:rPr>
        <w:color w:val="000000"/>
      </w:rPr>
    </w:pPr>
    <w:r>
      <w:rPr>
        <w:color w:val="000000"/>
      </w:rPr>
      <w:fldChar w:fldCharType="begin"/>
    </w:r>
    <w:r>
      <w:rPr>
        <w:color w:val="000000"/>
      </w:rPr>
      <w:instrText>PAGE</w:instrText>
    </w:r>
    <w:r>
      <w:rPr>
        <w:color w:val="000000"/>
      </w:rPr>
      <w:fldChar w:fldCharType="separate"/>
    </w:r>
    <w:r w:rsidR="007F00C7">
      <w:rPr>
        <w:noProof/>
        <w:color w:val="000000"/>
      </w:rPr>
      <w:t>1</w:t>
    </w:r>
    <w:r>
      <w:rPr>
        <w:color w:val="000000"/>
      </w:rPr>
      <w:fldChar w:fldCharType="end"/>
    </w:r>
  </w:p>
  <w:p w14:paraId="000001EC" w14:textId="77777777" w:rsidR="001527B5" w:rsidRDefault="001527B5">
    <w:pPr>
      <w:pBdr>
        <w:top w:val="nil"/>
        <w:left w:val="nil"/>
        <w:bottom w:val="nil"/>
        <w:right w:val="nil"/>
        <w:between w:val="nil"/>
      </w:pBdr>
      <w:tabs>
        <w:tab w:val="center" w:pos="4680"/>
        <w:tab w:val="right" w:pos="9360"/>
      </w:tabs>
      <w:spacing w:after="0"/>
      <w:ind w:right="360"/>
      <w:rPr>
        <w:color w:val="000000"/>
      </w:rPr>
    </w:pPr>
  </w:p>
  <w:p w14:paraId="000001ED" w14:textId="77777777" w:rsidR="001527B5" w:rsidRDefault="001527B5"/>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EE" w14:textId="4F1647FA" w:rsidR="001527B5" w:rsidRDefault="00000000">
    <w:pPr>
      <w:pBdr>
        <w:top w:val="nil"/>
        <w:left w:val="nil"/>
        <w:bottom w:val="nil"/>
        <w:right w:val="nil"/>
        <w:between w:val="nil"/>
      </w:pBdr>
      <w:tabs>
        <w:tab w:val="center" w:pos="4680"/>
        <w:tab w:val="right" w:pos="9360"/>
      </w:tabs>
      <w:spacing w:after="0"/>
      <w:jc w:val="right"/>
      <w:rPr>
        <w:color w:val="000000"/>
      </w:rPr>
    </w:pPr>
    <w:r>
      <w:rPr>
        <w:color w:val="000000"/>
      </w:rPr>
      <w:fldChar w:fldCharType="begin"/>
    </w:r>
    <w:r>
      <w:rPr>
        <w:color w:val="000000"/>
      </w:rPr>
      <w:instrText>PAGE</w:instrText>
    </w:r>
    <w:r>
      <w:rPr>
        <w:color w:val="000000"/>
      </w:rPr>
      <w:fldChar w:fldCharType="separate"/>
    </w:r>
    <w:r w:rsidR="00F728F1">
      <w:rPr>
        <w:noProof/>
        <w:color w:val="000000"/>
      </w:rPr>
      <w:t>1</w:t>
    </w:r>
    <w:r>
      <w:rPr>
        <w:color w:val="000000"/>
      </w:rPr>
      <w:fldChar w:fldCharType="end"/>
    </w:r>
  </w:p>
  <w:p w14:paraId="000001EF" w14:textId="77777777" w:rsidR="001527B5" w:rsidRDefault="001527B5">
    <w:pPr>
      <w:pBdr>
        <w:top w:val="nil"/>
        <w:left w:val="nil"/>
        <w:bottom w:val="nil"/>
        <w:right w:val="nil"/>
        <w:between w:val="nil"/>
      </w:pBdr>
      <w:tabs>
        <w:tab w:val="center" w:pos="4680"/>
        <w:tab w:val="right" w:pos="9360"/>
      </w:tabs>
      <w:spacing w:after="0"/>
      <w:ind w:right="360"/>
      <w:rPr>
        <w:color w:val="000000"/>
      </w:rPr>
    </w:pPr>
  </w:p>
  <w:p w14:paraId="000001F0" w14:textId="77777777" w:rsidR="001527B5" w:rsidRDefault="001527B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77108F" w14:textId="77777777" w:rsidR="00B202E3" w:rsidRDefault="00B202E3">
      <w:pPr>
        <w:spacing w:after="0"/>
      </w:pPr>
      <w:r>
        <w:separator/>
      </w:r>
    </w:p>
  </w:footnote>
  <w:footnote w:type="continuationSeparator" w:id="0">
    <w:p w14:paraId="330C5FAD" w14:textId="77777777" w:rsidR="00B202E3" w:rsidRDefault="00B202E3">
      <w:pPr>
        <w:spacing w:after="0"/>
      </w:pPr>
      <w:r>
        <w:continuationSeparator/>
      </w:r>
    </w:p>
  </w:footnote>
  <w:footnote w:id="1">
    <w:p w14:paraId="000001EA" w14:textId="77777777" w:rsidR="001527B5" w:rsidRDefault="00000000">
      <w:pPr>
        <w:pBdr>
          <w:top w:val="nil"/>
          <w:left w:val="nil"/>
          <w:bottom w:val="nil"/>
          <w:right w:val="nil"/>
          <w:between w:val="nil"/>
        </w:pBdr>
        <w:rPr>
          <w:color w:val="000000"/>
        </w:rPr>
      </w:pPr>
      <w:r>
        <w:rPr>
          <w:rStyle w:val="FootnoteReference"/>
        </w:rPr>
        <w:footnoteRef/>
      </w:r>
      <w:r>
        <w:rPr>
          <w:color w:val="000000"/>
        </w:rPr>
        <w:t xml:space="preserve"> The buffer ensured that LiDAR points associated with trees along plot boundaries were included in the operation; however, any tree objects detected in the buffer zone beyond the plot boundaries were removed.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5D2691"/>
    <w:multiLevelType w:val="multilevel"/>
    <w:tmpl w:val="84AE7812"/>
    <w:lvl w:ilvl="0">
      <w:start w:val="1"/>
      <w:numFmt w:val="decimal"/>
      <w:pStyle w:val="ListNumber"/>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 w15:restartNumberingAfterBreak="0">
    <w:nsid w:val="768D5D81"/>
    <w:multiLevelType w:val="multilevel"/>
    <w:tmpl w:val="C83C40B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984816669">
    <w:abstractNumId w:val="0"/>
  </w:num>
  <w:num w:numId="2" w16cid:durableId="3676808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27B5"/>
    <w:rsid w:val="00004788"/>
    <w:rsid w:val="00015587"/>
    <w:rsid w:val="00024FF5"/>
    <w:rsid w:val="00052B9B"/>
    <w:rsid w:val="0008023C"/>
    <w:rsid w:val="00082285"/>
    <w:rsid w:val="0009484A"/>
    <w:rsid w:val="000A439C"/>
    <w:rsid w:val="000C3F3F"/>
    <w:rsid w:val="000D2F12"/>
    <w:rsid w:val="000E183A"/>
    <w:rsid w:val="000E33A5"/>
    <w:rsid w:val="0011595C"/>
    <w:rsid w:val="00117CF0"/>
    <w:rsid w:val="0012107F"/>
    <w:rsid w:val="00135100"/>
    <w:rsid w:val="00136BA5"/>
    <w:rsid w:val="001410AD"/>
    <w:rsid w:val="001430AE"/>
    <w:rsid w:val="001527B5"/>
    <w:rsid w:val="00154D2A"/>
    <w:rsid w:val="0018424E"/>
    <w:rsid w:val="00187194"/>
    <w:rsid w:val="00197A41"/>
    <w:rsid w:val="001A0380"/>
    <w:rsid w:val="001A7D9D"/>
    <w:rsid w:val="001B7572"/>
    <w:rsid w:val="001C33E2"/>
    <w:rsid w:val="001D275E"/>
    <w:rsid w:val="001F7A24"/>
    <w:rsid w:val="00202AD8"/>
    <w:rsid w:val="002032FA"/>
    <w:rsid w:val="00221F94"/>
    <w:rsid w:val="002220B9"/>
    <w:rsid w:val="002222D5"/>
    <w:rsid w:val="00225440"/>
    <w:rsid w:val="0023243C"/>
    <w:rsid w:val="00244439"/>
    <w:rsid w:val="00245AAC"/>
    <w:rsid w:val="002520F3"/>
    <w:rsid w:val="00256F30"/>
    <w:rsid w:val="002739EB"/>
    <w:rsid w:val="002936E2"/>
    <w:rsid w:val="002A7411"/>
    <w:rsid w:val="002C6C15"/>
    <w:rsid w:val="002C7C26"/>
    <w:rsid w:val="002D2C56"/>
    <w:rsid w:val="00303530"/>
    <w:rsid w:val="00305548"/>
    <w:rsid w:val="00305964"/>
    <w:rsid w:val="003070CD"/>
    <w:rsid w:val="00313E1B"/>
    <w:rsid w:val="0032314D"/>
    <w:rsid w:val="003262DA"/>
    <w:rsid w:val="0034098B"/>
    <w:rsid w:val="003430DD"/>
    <w:rsid w:val="00352AF0"/>
    <w:rsid w:val="00365485"/>
    <w:rsid w:val="0037576D"/>
    <w:rsid w:val="00380BCF"/>
    <w:rsid w:val="00394BDD"/>
    <w:rsid w:val="00396F6A"/>
    <w:rsid w:val="003B7E43"/>
    <w:rsid w:val="003F29F8"/>
    <w:rsid w:val="00401127"/>
    <w:rsid w:val="00434A2C"/>
    <w:rsid w:val="0044081A"/>
    <w:rsid w:val="0044289C"/>
    <w:rsid w:val="0046728D"/>
    <w:rsid w:val="00467787"/>
    <w:rsid w:val="0049376D"/>
    <w:rsid w:val="004B7395"/>
    <w:rsid w:val="004B7EFF"/>
    <w:rsid w:val="004C14AD"/>
    <w:rsid w:val="004E7699"/>
    <w:rsid w:val="004F4FC4"/>
    <w:rsid w:val="004F6949"/>
    <w:rsid w:val="004F6E12"/>
    <w:rsid w:val="005036AD"/>
    <w:rsid w:val="005115D3"/>
    <w:rsid w:val="00513AA2"/>
    <w:rsid w:val="0052711E"/>
    <w:rsid w:val="00537CCA"/>
    <w:rsid w:val="0054378F"/>
    <w:rsid w:val="0056410C"/>
    <w:rsid w:val="00593342"/>
    <w:rsid w:val="0059544E"/>
    <w:rsid w:val="005A70F9"/>
    <w:rsid w:val="005C302A"/>
    <w:rsid w:val="005D0C97"/>
    <w:rsid w:val="005F68D0"/>
    <w:rsid w:val="00601162"/>
    <w:rsid w:val="0062194A"/>
    <w:rsid w:val="00622AE9"/>
    <w:rsid w:val="00622D22"/>
    <w:rsid w:val="0062665A"/>
    <w:rsid w:val="00627728"/>
    <w:rsid w:val="00645DD9"/>
    <w:rsid w:val="00660122"/>
    <w:rsid w:val="00680ABB"/>
    <w:rsid w:val="00684FD3"/>
    <w:rsid w:val="006904F2"/>
    <w:rsid w:val="006C1E65"/>
    <w:rsid w:val="006D4204"/>
    <w:rsid w:val="006D5569"/>
    <w:rsid w:val="006D75A7"/>
    <w:rsid w:val="006F1D76"/>
    <w:rsid w:val="00713FF2"/>
    <w:rsid w:val="007204EE"/>
    <w:rsid w:val="0076708F"/>
    <w:rsid w:val="00770ED8"/>
    <w:rsid w:val="00786CEC"/>
    <w:rsid w:val="007921E7"/>
    <w:rsid w:val="00796125"/>
    <w:rsid w:val="007A0ACD"/>
    <w:rsid w:val="007A5C35"/>
    <w:rsid w:val="007A7E59"/>
    <w:rsid w:val="007E5E31"/>
    <w:rsid w:val="007F00C7"/>
    <w:rsid w:val="00813B10"/>
    <w:rsid w:val="00821B05"/>
    <w:rsid w:val="0082793A"/>
    <w:rsid w:val="008302A4"/>
    <w:rsid w:val="008313E2"/>
    <w:rsid w:val="008323AE"/>
    <w:rsid w:val="00855DF4"/>
    <w:rsid w:val="008604B5"/>
    <w:rsid w:val="00875C72"/>
    <w:rsid w:val="00885142"/>
    <w:rsid w:val="0089401F"/>
    <w:rsid w:val="00896EF7"/>
    <w:rsid w:val="0089706A"/>
    <w:rsid w:val="008A0ADD"/>
    <w:rsid w:val="008C56E4"/>
    <w:rsid w:val="008C57BB"/>
    <w:rsid w:val="008D2DB5"/>
    <w:rsid w:val="008E0839"/>
    <w:rsid w:val="008E1C25"/>
    <w:rsid w:val="008E469F"/>
    <w:rsid w:val="008E7754"/>
    <w:rsid w:val="008F0396"/>
    <w:rsid w:val="008F191F"/>
    <w:rsid w:val="00900498"/>
    <w:rsid w:val="00922399"/>
    <w:rsid w:val="009243F2"/>
    <w:rsid w:val="009477E5"/>
    <w:rsid w:val="00950307"/>
    <w:rsid w:val="0095689B"/>
    <w:rsid w:val="009712B4"/>
    <w:rsid w:val="009721C5"/>
    <w:rsid w:val="00982328"/>
    <w:rsid w:val="0099339E"/>
    <w:rsid w:val="00997DDF"/>
    <w:rsid w:val="009A5790"/>
    <w:rsid w:val="009B35DB"/>
    <w:rsid w:val="009B578B"/>
    <w:rsid w:val="009B6C62"/>
    <w:rsid w:val="009C61C6"/>
    <w:rsid w:val="009D2FF8"/>
    <w:rsid w:val="009D652A"/>
    <w:rsid w:val="009E489A"/>
    <w:rsid w:val="009E7F11"/>
    <w:rsid w:val="00A03DE9"/>
    <w:rsid w:val="00A2128A"/>
    <w:rsid w:val="00A76FF5"/>
    <w:rsid w:val="00A7796A"/>
    <w:rsid w:val="00A77F6B"/>
    <w:rsid w:val="00A81AD4"/>
    <w:rsid w:val="00A9240E"/>
    <w:rsid w:val="00AA7B7B"/>
    <w:rsid w:val="00AC2DAB"/>
    <w:rsid w:val="00AD4014"/>
    <w:rsid w:val="00AE1E31"/>
    <w:rsid w:val="00AE6643"/>
    <w:rsid w:val="00AE7257"/>
    <w:rsid w:val="00AF779A"/>
    <w:rsid w:val="00B024C9"/>
    <w:rsid w:val="00B202E3"/>
    <w:rsid w:val="00B26ED7"/>
    <w:rsid w:val="00B33536"/>
    <w:rsid w:val="00B64563"/>
    <w:rsid w:val="00B72711"/>
    <w:rsid w:val="00B80CB3"/>
    <w:rsid w:val="00B9631C"/>
    <w:rsid w:val="00BA3D94"/>
    <w:rsid w:val="00BC0AC2"/>
    <w:rsid w:val="00BD4A4F"/>
    <w:rsid w:val="00BD4DDB"/>
    <w:rsid w:val="00BF3615"/>
    <w:rsid w:val="00C03DF0"/>
    <w:rsid w:val="00C2524A"/>
    <w:rsid w:val="00C26FC7"/>
    <w:rsid w:val="00C2736F"/>
    <w:rsid w:val="00C314D9"/>
    <w:rsid w:val="00C60034"/>
    <w:rsid w:val="00C66F71"/>
    <w:rsid w:val="00C72076"/>
    <w:rsid w:val="00C7754C"/>
    <w:rsid w:val="00CB1041"/>
    <w:rsid w:val="00CB7911"/>
    <w:rsid w:val="00CC35F6"/>
    <w:rsid w:val="00CE44C8"/>
    <w:rsid w:val="00D01733"/>
    <w:rsid w:val="00D10761"/>
    <w:rsid w:val="00D12FF7"/>
    <w:rsid w:val="00D175AB"/>
    <w:rsid w:val="00D334C7"/>
    <w:rsid w:val="00D344BA"/>
    <w:rsid w:val="00D4543F"/>
    <w:rsid w:val="00D45CEB"/>
    <w:rsid w:val="00D77D72"/>
    <w:rsid w:val="00D802E6"/>
    <w:rsid w:val="00D92FC8"/>
    <w:rsid w:val="00D96DBA"/>
    <w:rsid w:val="00DA79E7"/>
    <w:rsid w:val="00DC2B1B"/>
    <w:rsid w:val="00DD57FF"/>
    <w:rsid w:val="00E03720"/>
    <w:rsid w:val="00E03F69"/>
    <w:rsid w:val="00E11EEA"/>
    <w:rsid w:val="00E14314"/>
    <w:rsid w:val="00E16F8E"/>
    <w:rsid w:val="00E34684"/>
    <w:rsid w:val="00E46C3D"/>
    <w:rsid w:val="00E51499"/>
    <w:rsid w:val="00E604C0"/>
    <w:rsid w:val="00E72DC5"/>
    <w:rsid w:val="00E84D21"/>
    <w:rsid w:val="00E93F6F"/>
    <w:rsid w:val="00EA02DE"/>
    <w:rsid w:val="00EB0C2B"/>
    <w:rsid w:val="00EB7C66"/>
    <w:rsid w:val="00EC094D"/>
    <w:rsid w:val="00EC39B5"/>
    <w:rsid w:val="00ED2FE8"/>
    <w:rsid w:val="00ED41FC"/>
    <w:rsid w:val="00EE0A25"/>
    <w:rsid w:val="00EE2B85"/>
    <w:rsid w:val="00EF65F8"/>
    <w:rsid w:val="00F10CA2"/>
    <w:rsid w:val="00F14859"/>
    <w:rsid w:val="00F153AB"/>
    <w:rsid w:val="00F160D6"/>
    <w:rsid w:val="00F174C8"/>
    <w:rsid w:val="00F24676"/>
    <w:rsid w:val="00F522E6"/>
    <w:rsid w:val="00F55822"/>
    <w:rsid w:val="00F7154C"/>
    <w:rsid w:val="00F728F1"/>
    <w:rsid w:val="00F736D2"/>
    <w:rsid w:val="00FA3D73"/>
    <w:rsid w:val="00FA520B"/>
    <w:rsid w:val="00FA55E7"/>
    <w:rsid w:val="00FC262D"/>
    <w:rsid w:val="00FC440B"/>
    <w:rsid w:val="00FC615A"/>
    <w:rsid w:val="00FE5523"/>
    <w:rsid w:val="00FF1ECA"/>
    <w:rsid w:val="00FF7F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A5F1191"/>
  <w15:docId w15:val="{A009ADF2-A4FF-2F4E-A7D8-8CA516F7BD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0854"/>
  </w:style>
  <w:style w:type="paragraph" w:styleId="Heading1">
    <w:name w:val="heading 1"/>
    <w:basedOn w:val="Normal"/>
    <w:next w:val="BodyText"/>
    <w:uiPriority w:val="9"/>
    <w:qFormat/>
    <w:rsid w:val="008623AB"/>
    <w:pPr>
      <w:keepNext/>
      <w:keepLines/>
      <w:spacing w:before="240" w:after="240"/>
      <w:outlineLvl w:val="0"/>
    </w:pPr>
    <w:rPr>
      <w:rFonts w:ascii="Helvetica Neue" w:eastAsiaTheme="majorEastAsia" w:hAnsi="Helvetica Neue" w:cstheme="majorBidi"/>
      <w:b/>
      <w:bCs/>
      <w:color w:val="000000" w:themeColor="text1"/>
      <w:sz w:val="32"/>
      <w:szCs w:val="32"/>
    </w:rPr>
  </w:style>
  <w:style w:type="paragraph" w:styleId="Heading2">
    <w:name w:val="heading 2"/>
    <w:basedOn w:val="Normal"/>
    <w:next w:val="BodyText"/>
    <w:uiPriority w:val="9"/>
    <w:unhideWhenUsed/>
    <w:qFormat/>
    <w:rsid w:val="008623AB"/>
    <w:pPr>
      <w:keepNext/>
      <w:keepLines/>
      <w:spacing w:before="200"/>
      <w:outlineLvl w:val="1"/>
    </w:pPr>
    <w:rPr>
      <w:rFonts w:ascii="Helvetica Neue" w:eastAsiaTheme="majorEastAsia" w:hAnsi="Helvetica Neue" w:cstheme="majorBidi"/>
      <w:b/>
      <w:bCs/>
      <w:sz w:val="28"/>
      <w:szCs w:val="28"/>
    </w:rPr>
  </w:style>
  <w:style w:type="paragraph" w:styleId="Heading3">
    <w:name w:val="heading 3"/>
    <w:basedOn w:val="Normal"/>
    <w:next w:val="BodyText"/>
    <w:uiPriority w:val="9"/>
    <w:unhideWhenUsed/>
    <w:qFormat/>
    <w:rsid w:val="008623AB"/>
    <w:pPr>
      <w:keepNext/>
      <w:keepLines/>
      <w:spacing w:before="160" w:after="160"/>
      <w:outlineLvl w:val="2"/>
    </w:pPr>
    <w:rPr>
      <w:rFonts w:ascii="Helvetica Neue" w:eastAsiaTheme="majorEastAsia" w:hAnsi="Helvetica Neue" w:cstheme="majorBidi"/>
      <w:b/>
      <w:bCs/>
      <w:color w:val="000000" w:themeColor="text1"/>
    </w:rPr>
  </w:style>
  <w:style w:type="paragraph" w:styleId="Heading4">
    <w:name w:val="heading 4"/>
    <w:basedOn w:val="Normal"/>
    <w:next w:val="BodyText"/>
    <w:uiPriority w:val="9"/>
    <w:semiHidden/>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semiHidden/>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semiHidden/>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BodyText"/>
    <w:uiPriority w:val="10"/>
    <w:qFormat/>
    <w:rsid w:val="0040378E"/>
    <w:pPr>
      <w:keepNext/>
      <w:keepLines/>
      <w:spacing w:before="480" w:after="240"/>
      <w:jc w:val="center"/>
    </w:pPr>
    <w:rPr>
      <w:rFonts w:ascii="Arial" w:eastAsiaTheme="majorEastAsia" w:hAnsi="Arial" w:cstheme="majorBidi"/>
      <w:b/>
      <w:bCs/>
      <w:color w:val="000000" w:themeColor="text1"/>
      <w:sz w:val="36"/>
      <w:szCs w:val="36"/>
    </w:rPr>
  </w:style>
  <w:style w:type="paragraph" w:styleId="BodyText">
    <w:name w:val="Body Text"/>
    <w:basedOn w:val="Normal"/>
    <w:link w:val="BodyTextChar"/>
    <w:autoRedefine/>
    <w:qFormat/>
    <w:rsid w:val="005D57FA"/>
    <w:pPr>
      <w:spacing w:after="0" w:line="480" w:lineRule="auto"/>
      <w:ind w:firstLine="720"/>
      <w:jc w:val="both"/>
    </w:pPr>
  </w:style>
  <w:style w:type="paragraph" w:customStyle="1" w:styleId="FirstParagraph">
    <w:name w:val="First Paragraph"/>
    <w:basedOn w:val="BodyText"/>
    <w:next w:val="BodyText"/>
    <w:autoRedefine/>
    <w:qFormat/>
    <w:rsid w:val="00EB4993"/>
  </w:style>
  <w:style w:type="paragraph" w:customStyle="1" w:styleId="Compact">
    <w:name w:val="Compact"/>
    <w:basedOn w:val="BodyText"/>
    <w:qFormat/>
    <w:rsid w:val="00E47F98"/>
    <w:pPr>
      <w:spacing w:before="36" w:after="36" w:line="240" w:lineRule="auto"/>
    </w:pPr>
  </w:style>
  <w:style w:type="paragraph" w:styleId="Subtitle">
    <w:name w:val="Subtitle"/>
    <w:basedOn w:val="Normal"/>
    <w:next w:val="Normal"/>
    <w:uiPriority w:val="11"/>
    <w:qFormat/>
    <w:pPr>
      <w:keepNext/>
      <w:keepLines/>
      <w:spacing w:before="240" w:after="240"/>
      <w:jc w:val="center"/>
    </w:pPr>
    <w:rPr>
      <w:rFonts w:ascii="Arial" w:eastAsia="Arial" w:hAnsi="Arial" w:cs="Arial"/>
      <w:b/>
      <w:color w:val="000000"/>
      <w:sz w:val="30"/>
      <w:szCs w:val="30"/>
    </w:rPr>
  </w:style>
  <w:style w:type="paragraph" w:customStyle="1" w:styleId="Author">
    <w:name w:val="Author"/>
    <w:next w:val="BodyText"/>
    <w:autoRedefine/>
    <w:qFormat/>
    <w:rsid w:val="0040378E"/>
    <w:pPr>
      <w:keepNext/>
      <w:keepLines/>
      <w:jc w:val="center"/>
    </w:pPr>
  </w:style>
  <w:style w:type="paragraph" w:styleId="Date">
    <w:name w:val="Date"/>
    <w:next w:val="BodyText"/>
    <w:autoRedefine/>
    <w:qFormat/>
    <w:rsid w:val="0040378E"/>
    <w:pPr>
      <w:keepNext/>
      <w:keepLines/>
      <w:jc w:val="center"/>
    </w:pPr>
  </w:style>
  <w:style w:type="paragraph" w:customStyle="1" w:styleId="Abstract">
    <w:name w:val="Abstract"/>
    <w:basedOn w:val="Normal"/>
    <w:next w:val="BodyText"/>
    <w:qFormat/>
    <w:rsid w:val="00490854"/>
    <w:pPr>
      <w:keepNext/>
      <w:keepLines/>
      <w:spacing w:before="300" w:after="300" w:line="480" w:lineRule="auto"/>
    </w:pPr>
    <w:rPr>
      <w:sz w:val="20"/>
      <w:szCs w:val="20"/>
    </w:rPr>
  </w:style>
  <w:style w:type="paragraph" w:styleId="Bibliography">
    <w:name w:val="Bibliography"/>
    <w:basedOn w:val="Normal"/>
    <w:qFormat/>
    <w:rsid w:val="00C113F3"/>
    <w:pPr>
      <w:spacing w:before="180" w:after="180"/>
      <w:ind w:left="720" w:hanging="720"/>
    </w:p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autoRedefine/>
    <w:rsid w:val="00E47F98"/>
    <w:pPr>
      <w:snapToGrid w:val="0"/>
      <w:spacing w:after="120"/>
    </w:pPr>
  </w:style>
  <w:style w:type="paragraph" w:customStyle="1" w:styleId="TableCaption">
    <w:name w:val="Table Caption"/>
    <w:basedOn w:val="Caption"/>
    <w:autoRedefine/>
    <w:rsid w:val="00126141"/>
    <w:pPr>
      <w:keepNext/>
      <w:spacing w:before="120" w:after="240"/>
    </w:pPr>
  </w:style>
  <w:style w:type="paragraph" w:customStyle="1" w:styleId="ImageCaption">
    <w:name w:val="Image Caption"/>
    <w:basedOn w:val="Caption"/>
  </w:style>
  <w:style w:type="paragraph" w:customStyle="1" w:styleId="Figure">
    <w:name w:val="Figure"/>
    <w:basedOn w:val="Normal"/>
    <w:rsid w:val="00E47F98"/>
  </w:style>
  <w:style w:type="paragraph" w:customStyle="1" w:styleId="CaptionedFigure">
    <w:name w:val="Captioned Figure"/>
    <w:basedOn w:val="Figure"/>
    <w:rsid w:val="00E47F98"/>
    <w:pPr>
      <w:keepNext/>
    </w:pPr>
  </w:style>
  <w:style w:type="character" w:customStyle="1" w:styleId="CaptionChar">
    <w:name w:val="Caption Char"/>
    <w:basedOn w:val="DefaultParagraphFont"/>
    <w:link w:val="Caption"/>
    <w:rsid w:val="00E47F98"/>
    <w:rPr>
      <w:rFonts w:ascii="Times New Roman" w:hAnsi="Times New Roman"/>
    </w:rPr>
  </w:style>
  <w:style w:type="character" w:customStyle="1" w:styleId="VerbatimChar">
    <w:name w:val="Verbatim Char"/>
    <w:basedOn w:val="CaptionChar"/>
    <w:link w:val="SourceCode"/>
    <w:rsid w:val="00AB6C84"/>
    <w:rPr>
      <w:rFonts w:ascii="Consolas" w:hAnsi="Consolas"/>
      <w:shd w:val="clear" w:color="auto" w:fill="F8F8F8"/>
    </w:rPr>
  </w:style>
  <w:style w:type="character" w:customStyle="1" w:styleId="SectionNumber">
    <w:name w:val="Section Number"/>
    <w:basedOn w:val="CaptionChar"/>
    <w:rPr>
      <w:rFonts w:ascii="Times New Roman" w:hAnsi="Times New Roman"/>
    </w:rPr>
  </w:style>
  <w:style w:type="character" w:styleId="FootnoteReference">
    <w:name w:val="footnote reference"/>
    <w:basedOn w:val="CaptionChar"/>
    <w:rPr>
      <w:rFonts w:ascii="Times New Roman" w:hAnsi="Times New Roman"/>
      <w:vertAlign w:val="superscript"/>
    </w:rPr>
  </w:style>
  <w:style w:type="character" w:styleId="Hyperlink">
    <w:name w:val="Hyperlink"/>
    <w:basedOn w:val="CaptionChar"/>
    <w:rPr>
      <w:rFonts w:ascii="Times New Roman" w:hAnsi="Times New Roman"/>
      <w:color w:val="4F81BD" w:themeColor="accent1"/>
    </w:rPr>
  </w:style>
  <w:style w:type="paragraph" w:styleId="TOCHeading">
    <w:name w:val="TOC Heading"/>
    <w:basedOn w:val="Heading1"/>
    <w:next w:val="BodyText"/>
    <w:uiPriority w:val="39"/>
    <w:unhideWhenUsed/>
    <w:qFormat/>
    <w:pPr>
      <w:spacing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rsid w:val="00AB6C84"/>
    <w:pPr>
      <w:shd w:val="clear" w:color="auto" w:fill="F8F8F8"/>
      <w:wordWrap w:val="0"/>
    </w:pPr>
    <w:rPr>
      <w:rFonts w:ascii="Consolas" w:hAnsi="Consolas"/>
    </w:r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5D57FA"/>
  </w:style>
  <w:style w:type="character" w:styleId="LineNumber">
    <w:name w:val="line number"/>
    <w:basedOn w:val="DefaultParagraphFont"/>
    <w:semiHidden/>
    <w:unhideWhenUsed/>
    <w:rsid w:val="006E6C45"/>
  </w:style>
  <w:style w:type="table" w:customStyle="1" w:styleId="PaperTable">
    <w:name w:val="PaperTable"/>
    <w:basedOn w:val="TableNormal"/>
    <w:uiPriority w:val="99"/>
    <w:rsid w:val="00C463E4"/>
    <w:pPr>
      <w:spacing w:after="0"/>
    </w:pPr>
    <w:rPr>
      <w:rFonts w:ascii="Book Antiqua" w:hAnsi="Book Antiqua"/>
      <w:sz w:val="22"/>
    </w:rPr>
    <w:tblPr>
      <w:tblCellSpacing w:w="7" w:type="dxa"/>
      <w:tblBorders>
        <w:bottom w:val="single" w:sz="12" w:space="0" w:color="auto"/>
      </w:tblBorders>
      <w:tblCellMar>
        <w:top w:w="108" w:type="dxa"/>
        <w:bottom w:w="108" w:type="dxa"/>
      </w:tblCellMar>
    </w:tblPr>
    <w:trPr>
      <w:tblCellSpacing w:w="7" w:type="dxa"/>
    </w:trPr>
    <w:tcPr>
      <w:vAlign w:val="center"/>
    </w:tcPr>
    <w:tblStylePr w:type="firstRow">
      <w:pPr>
        <w:jc w:val="left"/>
      </w:pPr>
      <w:rPr>
        <w:rFonts w:ascii="Book Antiqua" w:hAnsi="Book Antiqua"/>
        <w:b/>
        <w:sz w:val="24"/>
      </w:rPr>
      <w:tblPr/>
      <w:tcPr>
        <w:tcBorders>
          <w:top w:val="single" w:sz="4" w:space="0" w:color="auto"/>
          <w:left w:val="nil"/>
          <w:bottom w:val="single" w:sz="12" w:space="0" w:color="auto"/>
          <w:right w:val="nil"/>
          <w:insideH w:val="nil"/>
          <w:insideV w:val="nil"/>
          <w:tl2br w:val="nil"/>
          <w:tr2bl w:val="nil"/>
        </w:tcBorders>
      </w:tcPr>
    </w:tblStylePr>
  </w:style>
  <w:style w:type="paragraph" w:styleId="ListNumber">
    <w:name w:val="List Number"/>
    <w:basedOn w:val="Compact"/>
    <w:autoRedefine/>
    <w:unhideWhenUsed/>
    <w:qFormat/>
    <w:rsid w:val="00A36448"/>
    <w:pPr>
      <w:numPr>
        <w:numId w:val="1"/>
      </w:numPr>
      <w:spacing w:before="0" w:after="0" w:line="480" w:lineRule="auto"/>
      <w:ind w:left="835" w:hanging="475"/>
    </w:pPr>
  </w:style>
  <w:style w:type="table" w:customStyle="1" w:styleId="PubTable">
    <w:name w:val="PubTable"/>
    <w:basedOn w:val="PlainTable1"/>
    <w:uiPriority w:val="99"/>
    <w:rsid w:val="002960AF"/>
    <w:rPr>
      <w:rFonts w:ascii="Book Antiqua" w:hAnsi="Book Antiqua"/>
      <w:sz w:val="22"/>
      <w:szCs w:val="20"/>
    </w:rPr>
    <w:tblPr>
      <w:tblCellSpacing w:w="14" w:type="dxa"/>
      <w:tblBorders>
        <w:top w:val="none" w:sz="0" w:space="0" w:color="auto"/>
        <w:left w:val="none" w:sz="0" w:space="0" w:color="auto"/>
        <w:bottom w:val="single" w:sz="4" w:space="0" w:color="auto"/>
        <w:right w:val="none" w:sz="0" w:space="0" w:color="auto"/>
        <w:insideH w:val="none" w:sz="0" w:space="0" w:color="auto"/>
        <w:insideV w:val="none" w:sz="0" w:space="0" w:color="auto"/>
      </w:tblBorders>
      <w:tblCellMar>
        <w:top w:w="144" w:type="dxa"/>
        <w:left w:w="144" w:type="dxa"/>
        <w:bottom w:w="144" w:type="dxa"/>
        <w:right w:w="144" w:type="dxa"/>
      </w:tblCellMar>
    </w:tblPr>
    <w:trPr>
      <w:tblCellSpacing w:w="14" w:type="dxa"/>
    </w:trPr>
    <w:tcPr>
      <w:shd w:val="clear" w:color="auto" w:fill="auto"/>
      <w:vAlign w:val="center"/>
    </w:tcPr>
    <w:tblStylePr w:type="firstRow">
      <w:pPr>
        <w:jc w:val="left"/>
      </w:pPr>
      <w:rPr>
        <w:rFonts w:ascii="Book Antiqua" w:hAnsi="Book Antiqua"/>
        <w:b/>
        <w:bCs/>
        <w:i w:val="0"/>
        <w:sz w:val="24"/>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1">
    <w:name w:val="Plain Table 1"/>
    <w:basedOn w:val="TableNormal"/>
    <w:rsid w:val="00A73F44"/>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rsid w:val="00A73F44"/>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tyle1">
    <w:name w:val="Style1"/>
    <w:basedOn w:val="TableNormal"/>
    <w:uiPriority w:val="99"/>
    <w:rsid w:val="00126141"/>
    <w:pPr>
      <w:spacing w:after="0"/>
    </w:pPr>
    <w:tblPr/>
  </w:style>
  <w:style w:type="paragraph" w:styleId="Header">
    <w:name w:val="header"/>
    <w:basedOn w:val="Normal"/>
    <w:link w:val="HeaderChar"/>
    <w:unhideWhenUsed/>
    <w:rsid w:val="00B5477D"/>
    <w:pPr>
      <w:tabs>
        <w:tab w:val="center" w:pos="4680"/>
        <w:tab w:val="right" w:pos="9360"/>
      </w:tabs>
      <w:spacing w:after="0"/>
    </w:pPr>
  </w:style>
  <w:style w:type="character" w:customStyle="1" w:styleId="HeaderChar">
    <w:name w:val="Header Char"/>
    <w:basedOn w:val="DefaultParagraphFont"/>
    <w:link w:val="Header"/>
    <w:rsid w:val="00B5477D"/>
    <w:rPr>
      <w:rFonts w:ascii="Times New Roman" w:hAnsi="Times New Roman"/>
    </w:rPr>
  </w:style>
  <w:style w:type="paragraph" w:styleId="Footer">
    <w:name w:val="footer"/>
    <w:basedOn w:val="Normal"/>
    <w:link w:val="FooterChar"/>
    <w:unhideWhenUsed/>
    <w:rsid w:val="00B5477D"/>
    <w:pPr>
      <w:tabs>
        <w:tab w:val="center" w:pos="4680"/>
        <w:tab w:val="right" w:pos="9360"/>
      </w:tabs>
      <w:spacing w:after="0"/>
    </w:pPr>
  </w:style>
  <w:style w:type="character" w:customStyle="1" w:styleId="FooterChar">
    <w:name w:val="Footer Char"/>
    <w:basedOn w:val="DefaultParagraphFont"/>
    <w:link w:val="Footer"/>
    <w:rsid w:val="00B5477D"/>
    <w:rPr>
      <w:rFonts w:ascii="Times New Roman" w:hAnsi="Times New Roman"/>
    </w:rPr>
  </w:style>
  <w:style w:type="character" w:styleId="PageNumber">
    <w:name w:val="page number"/>
    <w:basedOn w:val="DefaultParagraphFont"/>
    <w:semiHidden/>
    <w:unhideWhenUsed/>
    <w:rsid w:val="00B5477D"/>
  </w:style>
  <w:style w:type="character" w:styleId="UnresolvedMention">
    <w:name w:val="Unresolved Mention"/>
    <w:basedOn w:val="DefaultParagraphFont"/>
    <w:uiPriority w:val="99"/>
    <w:semiHidden/>
    <w:unhideWhenUsed/>
    <w:rsid w:val="005D49E2"/>
    <w:rPr>
      <w:color w:val="605E5C"/>
      <w:shd w:val="clear" w:color="auto" w:fill="E1DFDD"/>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paragraph" w:styleId="ListParagraph">
    <w:name w:val="List Paragraph"/>
    <w:basedOn w:val="Normal"/>
    <w:uiPriority w:val="34"/>
    <w:qFormat/>
    <w:rsid w:val="00593CB4"/>
    <w:pPr>
      <w:ind w:left="720"/>
      <w:contextualSpacing/>
    </w:pPr>
  </w:style>
  <w:style w:type="paragraph" w:styleId="NormalWeb">
    <w:name w:val="Normal (Web)"/>
    <w:basedOn w:val="Normal"/>
    <w:uiPriority w:val="99"/>
    <w:unhideWhenUsed/>
    <w:rsid w:val="00E638F4"/>
    <w:pPr>
      <w:spacing w:before="100" w:beforeAutospacing="1" w:after="100" w:afterAutospacing="1"/>
    </w:pPr>
  </w:style>
  <w:style w:type="character" w:styleId="PlaceholderText">
    <w:name w:val="Placeholder Text"/>
    <w:basedOn w:val="DefaultParagraphFont"/>
    <w:uiPriority w:val="99"/>
    <w:semiHidden/>
    <w:rsid w:val="00F60A9F"/>
    <w:rPr>
      <w:color w:val="808080"/>
    </w:rPr>
  </w:style>
  <w:style w:type="table" w:customStyle="1" w:styleId="a2">
    <w:basedOn w:val="TableNormal"/>
    <w:pPr>
      <w:spacing w:after="0"/>
    </w:pPr>
    <w:rPr>
      <w:rFonts w:ascii="Book Antiqua" w:eastAsia="Book Antiqua" w:hAnsi="Book Antiqua" w:cs="Book Antiqua"/>
      <w:sz w:val="22"/>
      <w:szCs w:val="22"/>
    </w:rPr>
    <w:tblPr>
      <w:tblStyleRowBandSize w:val="1"/>
      <w:tblStyleColBandSize w:val="1"/>
      <w:tblCellMar>
        <w:left w:w="115" w:type="dxa"/>
        <w:right w:w="115" w:type="dxa"/>
      </w:tblCellMar>
    </w:tblPr>
    <w:tcPr>
      <w:shd w:val="clear" w:color="auto" w:fill="auto"/>
      <w:vAlign w:val="center"/>
    </w:tcPr>
  </w:style>
  <w:style w:type="table" w:customStyle="1" w:styleId="a3">
    <w:basedOn w:val="TableNormal"/>
    <w:pPr>
      <w:spacing w:after="0"/>
    </w:pPr>
    <w:rPr>
      <w:rFonts w:ascii="Book Antiqua" w:eastAsia="Book Antiqua" w:hAnsi="Book Antiqua" w:cs="Book Antiqua"/>
      <w:sz w:val="22"/>
      <w:szCs w:val="22"/>
    </w:rPr>
    <w:tblPr>
      <w:tblStyleRowBandSize w:val="1"/>
      <w:tblStyleColBandSize w:val="1"/>
      <w:tblCellMar>
        <w:left w:w="115" w:type="dxa"/>
        <w:right w:w="115" w:type="dxa"/>
      </w:tblCellMar>
    </w:tblPr>
    <w:tcPr>
      <w:shd w:val="clear" w:color="auto" w:fill="auto"/>
      <w:vAlign w:val="center"/>
    </w:tcPr>
  </w:style>
  <w:style w:type="table" w:customStyle="1" w:styleId="a4">
    <w:basedOn w:val="TableNormal"/>
    <w:pPr>
      <w:spacing w:after="0"/>
    </w:pPr>
    <w:rPr>
      <w:rFonts w:ascii="Book Antiqua" w:eastAsia="Book Antiqua" w:hAnsi="Book Antiqua" w:cs="Book Antiqua"/>
      <w:sz w:val="22"/>
      <w:szCs w:val="22"/>
    </w:rPr>
    <w:tblPr>
      <w:tblStyleRowBandSize w:val="1"/>
      <w:tblStyleColBandSize w:val="1"/>
      <w:tblCellMar>
        <w:left w:w="115" w:type="dxa"/>
        <w:right w:w="115" w:type="dxa"/>
      </w:tblCellMar>
    </w:tblPr>
    <w:tcPr>
      <w:shd w:val="clear" w:color="auto" w:fill="auto"/>
      <w:vAlign w:val="center"/>
    </w:tc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character" w:styleId="FollowedHyperlink">
    <w:name w:val="FollowedHyperlink"/>
    <w:basedOn w:val="DefaultParagraphFont"/>
    <w:uiPriority w:val="99"/>
    <w:semiHidden/>
    <w:unhideWhenUsed/>
    <w:rsid w:val="001A7D9D"/>
    <w:rPr>
      <w:color w:val="800080" w:themeColor="followedHyperlink"/>
      <w:u w:val="single"/>
    </w:rPr>
  </w:style>
  <w:style w:type="paragraph" w:styleId="HTMLPreformatted">
    <w:name w:val="HTML Preformatted"/>
    <w:basedOn w:val="Normal"/>
    <w:link w:val="HTMLPreformattedChar"/>
    <w:uiPriority w:val="99"/>
    <w:semiHidden/>
    <w:unhideWhenUsed/>
    <w:rsid w:val="00BC0AC2"/>
    <w:pPr>
      <w:spacing w:after="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BC0AC2"/>
    <w:rPr>
      <w:rFonts w:ascii="Consolas" w:hAnsi="Consolas" w:cs="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5628429">
      <w:bodyDiv w:val="1"/>
      <w:marLeft w:val="0"/>
      <w:marRight w:val="0"/>
      <w:marTop w:val="0"/>
      <w:marBottom w:val="0"/>
      <w:divBdr>
        <w:top w:val="none" w:sz="0" w:space="0" w:color="auto"/>
        <w:left w:val="none" w:sz="0" w:space="0" w:color="auto"/>
        <w:bottom w:val="none" w:sz="0" w:space="0" w:color="auto"/>
        <w:right w:val="none" w:sz="0" w:space="0" w:color="auto"/>
      </w:divBdr>
    </w:div>
    <w:div w:id="611013441">
      <w:bodyDiv w:val="1"/>
      <w:marLeft w:val="0"/>
      <w:marRight w:val="0"/>
      <w:marTop w:val="0"/>
      <w:marBottom w:val="0"/>
      <w:divBdr>
        <w:top w:val="none" w:sz="0" w:space="0" w:color="auto"/>
        <w:left w:val="none" w:sz="0" w:space="0" w:color="auto"/>
        <w:bottom w:val="none" w:sz="0" w:space="0" w:color="auto"/>
        <w:right w:val="none" w:sz="0" w:space="0" w:color="auto"/>
      </w:divBdr>
      <w:divsChild>
        <w:div w:id="1171867681">
          <w:marLeft w:val="0"/>
          <w:marRight w:val="0"/>
          <w:marTop w:val="0"/>
          <w:marBottom w:val="0"/>
          <w:divBdr>
            <w:top w:val="none" w:sz="0" w:space="0" w:color="auto"/>
            <w:left w:val="none" w:sz="0" w:space="0" w:color="auto"/>
            <w:bottom w:val="none" w:sz="0" w:space="0" w:color="auto"/>
            <w:right w:val="none" w:sz="0" w:space="0" w:color="auto"/>
          </w:divBdr>
        </w:div>
      </w:divsChild>
    </w:div>
    <w:div w:id="990669105">
      <w:bodyDiv w:val="1"/>
      <w:marLeft w:val="0"/>
      <w:marRight w:val="0"/>
      <w:marTop w:val="0"/>
      <w:marBottom w:val="0"/>
      <w:divBdr>
        <w:top w:val="none" w:sz="0" w:space="0" w:color="auto"/>
        <w:left w:val="none" w:sz="0" w:space="0" w:color="auto"/>
        <w:bottom w:val="none" w:sz="0" w:space="0" w:color="auto"/>
        <w:right w:val="none" w:sz="0" w:space="0" w:color="auto"/>
      </w:divBdr>
    </w:div>
    <w:div w:id="2085294415">
      <w:bodyDiv w:val="1"/>
      <w:marLeft w:val="0"/>
      <w:marRight w:val="0"/>
      <w:marTop w:val="0"/>
      <w:marBottom w:val="0"/>
      <w:divBdr>
        <w:top w:val="none" w:sz="0" w:space="0" w:color="auto"/>
        <w:left w:val="none" w:sz="0" w:space="0" w:color="auto"/>
        <w:bottom w:val="none" w:sz="0" w:space="0" w:color="auto"/>
        <w:right w:val="none" w:sz="0" w:space="0" w:color="auto"/>
      </w:divBdr>
      <w:divsChild>
        <w:div w:id="1041176017">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26" Type="http://schemas.openxmlformats.org/officeDocument/2006/relationships/hyperlink" Target="https://doi.org/10.1016/S0016-7061(99)00059-2" TargetMode="External"/><Relationship Id="rId117" Type="http://schemas.openxmlformats.org/officeDocument/2006/relationships/hyperlink" Target="https://doi.org/10.1111/1365-2745.12510" TargetMode="External"/><Relationship Id="rId21" Type="http://schemas.openxmlformats.org/officeDocument/2006/relationships/hyperlink" Target="https://doi.org/10.1080/07038992.2017.1252907" TargetMode="External"/><Relationship Id="rId42" Type="http://schemas.openxmlformats.org/officeDocument/2006/relationships/hyperlink" Target="https://doi.org/10.1038/s41558-022-01403-8" TargetMode="External"/><Relationship Id="rId47" Type="http://schemas.openxmlformats.org/officeDocument/2006/relationships/hyperlink" Target="https://doi.org/10.15485/1602034" TargetMode="External"/><Relationship Id="rId63" Type="http://schemas.openxmlformats.org/officeDocument/2006/relationships/hyperlink" Target="https://doi.org/10.1117/1.3361375" TargetMode="External"/><Relationship Id="rId68" Type="http://schemas.openxmlformats.org/officeDocument/2006/relationships/hyperlink" Target="https://doi.org/10.1080/17550870802273411" TargetMode="External"/><Relationship Id="rId84" Type="http://schemas.openxmlformats.org/officeDocument/2006/relationships/hyperlink" Target="https://doi.org/10.1139/x93-140" TargetMode="External"/><Relationship Id="rId89" Type="http://schemas.openxmlformats.org/officeDocument/2006/relationships/hyperlink" Target="https://doi.org/10.1007/s00468-023-02482-6" TargetMode="External"/><Relationship Id="rId112" Type="http://schemas.openxmlformats.org/officeDocument/2006/relationships/hyperlink" Target="https://doi.org/10.2307/2424909" TargetMode="External"/><Relationship Id="rId16" Type="http://schemas.openxmlformats.org/officeDocument/2006/relationships/hyperlink" Target="https://doi.org/10.1890/ES14-00296.1" TargetMode="External"/><Relationship Id="rId107" Type="http://schemas.openxmlformats.org/officeDocument/2006/relationships/hyperlink" Target="https://doi.org/10.1023/A:1008183331604" TargetMode="External"/><Relationship Id="rId11" Type="http://schemas.openxmlformats.org/officeDocument/2006/relationships/hyperlink" Target="https://zenodo.org/doi/10.5281/zenodo.12775449" TargetMode="External"/><Relationship Id="rId32" Type="http://schemas.openxmlformats.org/officeDocument/2006/relationships/hyperlink" Target="https://doi.org/10.1080/01431160903023009" TargetMode="External"/><Relationship Id="rId37" Type="http://schemas.openxmlformats.org/officeDocument/2006/relationships/hyperlink" Target="https://doi.org/10.7717/peerj.6227" TargetMode="External"/><Relationship Id="rId53" Type="http://schemas.openxmlformats.org/officeDocument/2006/relationships/hyperlink" Target="https://doi.org/10.1002/sim.1501" TargetMode="External"/><Relationship Id="rId58" Type="http://schemas.openxmlformats.org/officeDocument/2006/relationships/hyperlink" Target="https://doi.org/10.1890/03-8006" TargetMode="External"/><Relationship Id="rId74" Type="http://schemas.openxmlformats.org/officeDocument/2006/relationships/hyperlink" Target="https://doi.org/10.1002/hyp.8150" TargetMode="External"/><Relationship Id="rId79" Type="http://schemas.openxmlformats.org/officeDocument/2006/relationships/hyperlink" Target="https://doi.org/10.1016/j.isprsjprs.2008.09.007" TargetMode="External"/><Relationship Id="rId102" Type="http://schemas.openxmlformats.org/officeDocument/2006/relationships/hyperlink" Target="https://cran.r-project.org/package=rlas" TargetMode="External"/><Relationship Id="rId5" Type="http://schemas.openxmlformats.org/officeDocument/2006/relationships/webSettings" Target="webSettings.xml"/><Relationship Id="rId90" Type="http://schemas.openxmlformats.org/officeDocument/2006/relationships/hyperlink" Target="https://doi.org/10.5067/M4TUH28NHL4Z" TargetMode="External"/><Relationship Id="rId95" Type="http://schemas.openxmlformats.org/officeDocument/2006/relationships/hyperlink" Target="https://doi.org/10.2307/3038041" TargetMode="External"/><Relationship Id="rId22" Type="http://schemas.openxmlformats.org/officeDocument/2006/relationships/hyperlink" Target="https://doi.org/10.1088/1748-9326/aa6da8" TargetMode="External"/><Relationship Id="rId27" Type="http://schemas.openxmlformats.org/officeDocument/2006/relationships/hyperlink" Target="https://doi.org/10.5066/F76T0JT4" TargetMode="External"/><Relationship Id="rId43" Type="http://schemas.openxmlformats.org/officeDocument/2006/relationships/hyperlink" Target="https://doi.org/10.1111/j.1365-2486.2010.02263.x" TargetMode="External"/><Relationship Id="rId48" Type="http://schemas.openxmlformats.org/officeDocument/2006/relationships/hyperlink" Target="https://doi.org/10.2139/ssrn.4779350" TargetMode="External"/><Relationship Id="rId64" Type="http://schemas.openxmlformats.org/officeDocument/2006/relationships/hyperlink" Target="https://doi.org/10.1016/j.foreco.2014.10.038" TargetMode="External"/><Relationship Id="rId69" Type="http://schemas.openxmlformats.org/officeDocument/2006/relationships/hyperlink" Target="https://doi.org/10.1111/gcb.13561" TargetMode="External"/><Relationship Id="rId113" Type="http://schemas.openxmlformats.org/officeDocument/2006/relationships/hyperlink" Target="https://doi.org/10.2307/1943519" TargetMode="External"/><Relationship Id="rId118" Type="http://schemas.openxmlformats.org/officeDocument/2006/relationships/hyperlink" Target="https://doi.org/10.3390/rs11212552" TargetMode="External"/><Relationship Id="rId80" Type="http://schemas.openxmlformats.org/officeDocument/2006/relationships/hyperlink" Target="https://doi.org/10.3390/rs11070819" TargetMode="External"/><Relationship Id="rId85" Type="http://schemas.openxmlformats.org/officeDocument/2006/relationships/hyperlink" Target="https://doi.org/10.1007/s11104-007-9235-3" TargetMode="External"/><Relationship Id="rId12" Type="http://schemas.openxmlformats.org/officeDocument/2006/relationships/hyperlink" Target="https://data.ess-dive.lbl.gov/datasets/doi:10.15485/2403350" TargetMode="External"/><Relationship Id="rId17" Type="http://schemas.openxmlformats.org/officeDocument/2006/relationships/hyperlink" Target="https://doi.org/10.1016/j.rse.2007.09.009" TargetMode="External"/><Relationship Id="rId33" Type="http://schemas.openxmlformats.org/officeDocument/2006/relationships/hyperlink" Target="https://doi.org/10.1111/1365-2745.12750" TargetMode="External"/><Relationship Id="rId38" Type="http://schemas.openxmlformats.org/officeDocument/2006/relationships/hyperlink" Target="https://doi.org/10.1016/j.geomorph.2012.12.015" TargetMode="External"/><Relationship Id="rId59" Type="http://schemas.openxmlformats.org/officeDocument/2006/relationships/hyperlink" Target="https://doi.org/10.1016/j.ecolmodel.2006.03.005" TargetMode="External"/><Relationship Id="rId103" Type="http://schemas.openxmlformats.org/officeDocument/2006/relationships/hyperlink" Target="https://cran.r-project.org/package=lidR" TargetMode="External"/><Relationship Id="rId108" Type="http://schemas.openxmlformats.org/officeDocument/2006/relationships/hyperlink" Target="https://doi.org/10.1111/ele.12151" TargetMode="External"/><Relationship Id="rId54" Type="http://schemas.openxmlformats.org/officeDocument/2006/relationships/hyperlink" Target="https://doi.org/10.15485/1617203" TargetMode="External"/><Relationship Id="rId70" Type="http://schemas.openxmlformats.org/officeDocument/2006/relationships/hyperlink" Target="https://doi.org/10.18637/jss.v028.i05" TargetMode="External"/><Relationship Id="rId75" Type="http://schemas.openxmlformats.org/officeDocument/2006/relationships/hyperlink" Target="https://doi.org/10.1890/07-0712.1" TargetMode="External"/><Relationship Id="rId91" Type="http://schemas.openxmlformats.org/officeDocument/2006/relationships/hyperlink" Target="https://doi.org/10.1016/j.rse.2016.06.018" TargetMode="External"/><Relationship Id="rId96" Type="http://schemas.openxmlformats.org/officeDocument/2006/relationships/hyperlink" Target="https://doi.org/10.1002/esp.4306"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s://doi.org/10.1029/2018JG004845" TargetMode="External"/><Relationship Id="rId28" Type="http://schemas.openxmlformats.org/officeDocument/2006/relationships/hyperlink" Target="https://doi.org/10.1111/nph.16456" TargetMode="External"/><Relationship Id="rId49" Type="http://schemas.openxmlformats.org/officeDocument/2006/relationships/hyperlink" Target="https://doi.org/10.1007/s00477-022-02327-7" TargetMode="External"/><Relationship Id="rId114" Type="http://schemas.openxmlformats.org/officeDocument/2006/relationships/hyperlink" Target="https://doi.org/10.2307/40021924" TargetMode="External"/><Relationship Id="rId119" Type="http://schemas.openxmlformats.org/officeDocument/2006/relationships/hyperlink" Target="https://github.com/tankwin08/waveformlidar" TargetMode="External"/><Relationship Id="rId44" Type="http://schemas.openxmlformats.org/officeDocument/2006/relationships/hyperlink" Target="https://doi.org/10.1111/gcb.16740" TargetMode="External"/><Relationship Id="rId60" Type="http://schemas.openxmlformats.org/officeDocument/2006/relationships/hyperlink" Target="https://doi.org/10.1111/j.1365-2486.2009.01967.x" TargetMode="External"/><Relationship Id="rId65" Type="http://schemas.openxmlformats.org/officeDocument/2006/relationships/hyperlink" Target="https://doi.org/10.1007/s00442-013-2696-6" TargetMode="External"/><Relationship Id="rId81" Type="http://schemas.openxmlformats.org/officeDocument/2006/relationships/hyperlink" Target="https://doi.org/10.1038/s41586-021-03761-3" TargetMode="External"/><Relationship Id="rId86" Type="http://schemas.openxmlformats.org/officeDocument/2006/relationships/hyperlink" Target="https://doi.org/10.1111/j.1365-2745.2009.01526.x" TargetMode="External"/><Relationship Id="rId4" Type="http://schemas.openxmlformats.org/officeDocument/2006/relationships/settings" Target="settings.xml"/><Relationship Id="rId9" Type="http://schemas.openxmlformats.org/officeDocument/2006/relationships/hyperlink" Target="https://data.airbornesnowobservatories.com/" TargetMode="External"/><Relationship Id="rId13" Type="http://schemas.openxmlformats.org/officeDocument/2006/relationships/hyperlink" Target="https://data.ess-dive.lbl.gov/datasets/doi:10.15485/2404585" TargetMode="External"/><Relationship Id="rId18" Type="http://schemas.openxmlformats.org/officeDocument/2006/relationships/hyperlink" Target="https://doi.org/10.1002/rse2.8" TargetMode="External"/><Relationship Id="rId39" Type="http://schemas.openxmlformats.org/officeDocument/2006/relationships/hyperlink" Target="https://doi.org/10.3189/2013JoG12J154" TargetMode="External"/><Relationship Id="rId109" Type="http://schemas.openxmlformats.org/officeDocument/2006/relationships/hyperlink" Target="https://doi.org/10.1002/eco.45" TargetMode="External"/><Relationship Id="rId34" Type="http://schemas.openxmlformats.org/officeDocument/2006/relationships/hyperlink" Target="https://doi.org/10.1088/1748-9326/abd5de" TargetMode="External"/><Relationship Id="rId50" Type="http://schemas.openxmlformats.org/officeDocument/2006/relationships/hyperlink" Target="https://doi.org/10.1186/2192-1709-2-25" TargetMode="External"/><Relationship Id="rId55" Type="http://schemas.openxmlformats.org/officeDocument/2006/relationships/hyperlink" Target="https://doi.org/10.15485/1617202" TargetMode="External"/><Relationship Id="rId76" Type="http://schemas.openxmlformats.org/officeDocument/2006/relationships/hyperlink" Target="https://doi.org/10.1002/wrcr.20504" TargetMode="External"/><Relationship Id="rId97" Type="http://schemas.openxmlformats.org/officeDocument/2006/relationships/hyperlink" Target="https://doi.org/10.1111/pce.13500" TargetMode="External"/><Relationship Id="rId104" Type="http://schemas.openxmlformats.org/officeDocument/2006/relationships/hyperlink" Target="https://github.com/Jean-Romain/lidRplugins" TargetMode="External"/><Relationship Id="rId120"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hyperlink" Target="https://doi.org/10.2307/1942400" TargetMode="External"/><Relationship Id="rId92" Type="http://schemas.openxmlformats.org/officeDocument/2006/relationships/hyperlink" Target="https://doi.org/10.1080/17538947.2021.1943018" TargetMode="External"/><Relationship Id="rId2" Type="http://schemas.openxmlformats.org/officeDocument/2006/relationships/numbering" Target="numbering.xml"/><Relationship Id="rId29" Type="http://schemas.openxmlformats.org/officeDocument/2006/relationships/hyperlink" Target="https://doi.org/10.1029/2022GL098780" TargetMode="External"/><Relationship Id="rId24" Type="http://schemas.openxmlformats.org/officeDocument/2006/relationships/hyperlink" Target="https://doi.org/10.1002/ecs2.2185" TargetMode="External"/><Relationship Id="rId40" Type="http://schemas.openxmlformats.org/officeDocument/2006/relationships/hyperlink" Target="https://doi.org/10.1016/0277-3791(82)90008-7" TargetMode="External"/><Relationship Id="rId45" Type="http://schemas.openxmlformats.org/officeDocument/2006/relationships/hyperlink" Target="https://doi.org/10.1111/j.1365-2656.2008.01390.x" TargetMode="External"/><Relationship Id="rId66" Type="http://schemas.openxmlformats.org/officeDocument/2006/relationships/hyperlink" Target="https://doi.org/10.2307/1937322" TargetMode="External"/><Relationship Id="rId87" Type="http://schemas.openxmlformats.org/officeDocument/2006/relationships/hyperlink" Target="https://doi.org/10.1007/978-1-4612-3732-7_11" TargetMode="External"/><Relationship Id="rId110" Type="http://schemas.openxmlformats.org/officeDocument/2006/relationships/hyperlink" Target="https://doi.org/10.2307/2996361" TargetMode="External"/><Relationship Id="rId115" Type="http://schemas.openxmlformats.org/officeDocument/2006/relationships/hyperlink" Target="https://doi.org/10.1111/j.1466-8238.2006.00268.x" TargetMode="External"/><Relationship Id="rId61" Type="http://schemas.openxmlformats.org/officeDocument/2006/relationships/hyperlink" Target="https://doi.org/10.1890/02-5317" TargetMode="External"/><Relationship Id="rId82" Type="http://schemas.openxmlformats.org/officeDocument/2006/relationships/hyperlink" Target="https://doi.org/10.1111/j.1654-1103.2002.tb02087.x" TargetMode="External"/><Relationship Id="rId19" Type="http://schemas.openxmlformats.org/officeDocument/2006/relationships/hyperlink" Target="https://doi.org/10.1002/2013GL058373." TargetMode="External"/><Relationship Id="rId14" Type="http://schemas.openxmlformats.org/officeDocument/2006/relationships/footer" Target="footer1.xml"/><Relationship Id="rId30" Type="http://schemas.openxmlformats.org/officeDocument/2006/relationships/hyperlink" Target="https://doi.org/10.1038/s44221-024-00239-0" TargetMode="External"/><Relationship Id="rId35" Type="http://schemas.openxmlformats.org/officeDocument/2006/relationships/hyperlink" Target="https://doi.org/10.1111/2041-210X.12575" TargetMode="External"/><Relationship Id="rId56" Type="http://schemas.openxmlformats.org/officeDocument/2006/relationships/hyperlink" Target="https://doi.org/10.1016/j.rse.2008.08.014" TargetMode="External"/><Relationship Id="rId77" Type="http://schemas.openxmlformats.org/officeDocument/2006/relationships/hyperlink" Target="https://doi.org/10.1007/s10021-012-9573-8" TargetMode="External"/><Relationship Id="rId100" Type="http://schemas.openxmlformats.org/officeDocument/2006/relationships/hyperlink" Target="https://doi.org/10.1086/507711" TargetMode="External"/><Relationship Id="rId105" Type="http://schemas.openxmlformats.org/officeDocument/2006/relationships/hyperlink" Target="https://doi.org/10.1038/s43017-021-00219-y" TargetMode="External"/><Relationship Id="rId8" Type="http://schemas.openxmlformats.org/officeDocument/2006/relationships/hyperlink" Target="mailto:H.%20Marshall%20Worsham%20(worsham@berkeley.edu" TargetMode="External"/><Relationship Id="rId51" Type="http://schemas.openxmlformats.org/officeDocument/2006/relationships/hyperlink" Target="https://doi.org/10.1088/1748-9326/aba77f" TargetMode="External"/><Relationship Id="rId72" Type="http://schemas.openxmlformats.org/officeDocument/2006/relationships/hyperlink" Target="https://doi-org.libproxy.berkeley.edu/10.1002/hyp.14158" TargetMode="External"/><Relationship Id="rId93" Type="http://schemas.openxmlformats.org/officeDocument/2006/relationships/hyperlink" Target="https://doi.org/10.2307/1939148" TargetMode="External"/><Relationship Id="rId98" Type="http://schemas.openxmlformats.org/officeDocument/2006/relationships/hyperlink" Target="https://doi.org/10.14358/PERS.73.7.829" TargetMode="External"/><Relationship Id="rId121" Type="http://schemas.openxmlformats.org/officeDocument/2006/relationships/theme" Target="theme/theme1.xml"/><Relationship Id="rId3" Type="http://schemas.openxmlformats.org/officeDocument/2006/relationships/styles" Target="styles.xml"/><Relationship Id="rId25" Type="http://schemas.openxmlformats.org/officeDocument/2006/relationships/hyperlink" Target="https://doi.org/10.1002/hyp.14475" TargetMode="External"/><Relationship Id="rId46" Type="http://schemas.openxmlformats.org/officeDocument/2006/relationships/hyperlink" Target="https://doi.org/10.3390/f6051721" TargetMode="External"/><Relationship Id="rId67" Type="http://schemas.openxmlformats.org/officeDocument/2006/relationships/hyperlink" Target="https://doi.org/10.1111/j.1365-2699.2003.01043.x" TargetMode="External"/><Relationship Id="rId116" Type="http://schemas.openxmlformats.org/officeDocument/2006/relationships/hyperlink" Target="https://doi.org/10.1038/s41558-022-01290-z" TargetMode="External"/><Relationship Id="rId20" Type="http://schemas.openxmlformats.org/officeDocument/2006/relationships/hyperlink" Target="https://doi.org/10.1890/10-0274.1" TargetMode="External"/><Relationship Id="rId41" Type="http://schemas.openxmlformats.org/officeDocument/2006/relationships/hyperlink" Target="https://doi.org/10.1038/s41467-020-18451-3" TargetMode="External"/><Relationship Id="rId62" Type="http://schemas.openxmlformats.org/officeDocument/2006/relationships/hyperlink" Target="https://doi.org/10.1111/gcb.13388" TargetMode="External"/><Relationship Id="rId83" Type="http://schemas.openxmlformats.org/officeDocument/2006/relationships/hyperlink" Target="https://doi.org/10.1038/nclimate2641" TargetMode="External"/><Relationship Id="rId88" Type="http://schemas.openxmlformats.org/officeDocument/2006/relationships/hyperlink" Target="https://doi.org/10.1890/06-1591.1" TargetMode="External"/><Relationship Id="rId111" Type="http://schemas.openxmlformats.org/officeDocument/2006/relationships/hyperlink" Target="https://doi.org/10.5194/hess-26-429-2022" TargetMode="External"/><Relationship Id="rId15" Type="http://schemas.openxmlformats.org/officeDocument/2006/relationships/footer" Target="footer2.xml"/><Relationship Id="rId36" Type="http://schemas.openxmlformats.org/officeDocument/2006/relationships/hyperlink" Target="https://doi.org/10.1111/2041-210X.12575" TargetMode="External"/><Relationship Id="rId57" Type="http://schemas.openxmlformats.org/officeDocument/2006/relationships/hyperlink" Target="https://doi.org/10.1093/aob/mcae064" TargetMode="External"/><Relationship Id="rId106" Type="http://schemas.openxmlformats.org/officeDocument/2006/relationships/hyperlink" Target="https://doi.org/10.1126/sciadv.abj2479" TargetMode="External"/><Relationship Id="rId10" Type="http://schemas.openxmlformats.org/officeDocument/2006/relationships/hyperlink" Target="https://zenodo.org/doi/10.5281/zenodo.12775449" TargetMode="External"/><Relationship Id="rId31" Type="http://schemas.openxmlformats.org/officeDocument/2006/relationships/hyperlink" Target="https://doi.org/10.1111/2041-210X.13463" TargetMode="External"/><Relationship Id="rId52" Type="http://schemas.openxmlformats.org/officeDocument/2006/relationships/hyperlink" Target="https://doi.org/10.1016/j.foreco.2018.12.006" TargetMode="External"/><Relationship Id="rId73" Type="http://schemas.openxmlformats.org/officeDocument/2006/relationships/hyperlink" Target="https://doi.org/10.1016/j.jtbi.2010.04.021" TargetMode="External"/><Relationship Id="rId78" Type="http://schemas.openxmlformats.org/officeDocument/2006/relationships/hyperlink" Target="https://doi.org/10.1073/pnas.1221278110" TargetMode="External"/><Relationship Id="rId94" Type="http://schemas.openxmlformats.org/officeDocument/2006/relationships/hyperlink" Target="https://doi.org/10.1007/BF00126830" TargetMode="External"/><Relationship Id="rId99" Type="http://schemas.openxmlformats.org/officeDocument/2006/relationships/hyperlink" Target="https://doi.org/10.2307/2261116" TargetMode="External"/><Relationship Id="rId101" Type="http://schemas.openxmlformats.org/officeDocument/2006/relationships/hyperlink" Target="https://doi.org/10.5194/hess-24-4625-20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oCDIGGf027i+ABs8R9Meo4dp21g==">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225</TotalTime>
  <Pages>50</Pages>
  <Words>15193</Words>
  <Characters>91162</Characters>
  <Application>Microsoft Office Word</Application>
  <DocSecurity>0</DocSecurity>
  <Lines>1519</Lines>
  <Paragraphs>559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 Marshall Worsham1,✉, Haruko M. Wainwright2,3, Thomas L. Powell4, Nicola Falco5, and Lara M. Kueppers1,5</dc:creator>
  <cp:lastModifiedBy>Marshall Worsham</cp:lastModifiedBy>
  <cp:revision>241</cp:revision>
  <dcterms:created xsi:type="dcterms:W3CDTF">2024-07-17T19:06:00Z</dcterms:created>
  <dcterms:modified xsi:type="dcterms:W3CDTF">2024-07-20T01:23:00Z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ibliography">
    <vt:lpwstr>ER_Forest_Structure_Paper_BetterBib.bib</vt:lpwstr>
  </property>
  <property fmtid="{D5CDD505-2E9C-101B-9397-08002B2CF9AE}" pid="5" name="ccsDelim">
    <vt:lpwstr>,</vt:lpwstr>
  </property>
  <property fmtid="{D5CDD505-2E9C-101B-9397-08002B2CF9AE}" pid="6" name="ccsLabelSep">
    <vt:lpwstr>—</vt:lpwstr>
  </property>
  <property fmtid="{D5CDD505-2E9C-101B-9397-08002B2CF9AE}" pid="7" name="ccsTemplate">
    <vt:lpwstr>iccsLabelSept</vt:lpwstr>
  </property>
  <property fmtid="{D5CDD505-2E9C-101B-9397-08002B2CF9AE}" pid="8" name="chapDelim">
    <vt:lpwstr>.</vt:lpwstr>
  </property>
  <property fmtid="{D5CDD505-2E9C-101B-9397-08002B2CF9AE}" pid="9" name="chapters">
    <vt:lpwstr>False</vt:lpwstr>
  </property>
  <property fmtid="{D5CDD505-2E9C-101B-9397-08002B2CF9AE}" pid="10" name="chaptersDepth">
    <vt:lpwstr>1</vt:lpwstr>
  </property>
  <property fmtid="{D5CDD505-2E9C-101B-9397-08002B2CF9AE}" pid="11" name="codeBlockCaptions">
    <vt:lpwstr>False</vt:lpwstr>
  </property>
  <property fmtid="{D5CDD505-2E9C-101B-9397-08002B2CF9AE}" pid="12" name="cref">
    <vt:lpwstr>False</vt:lpwstr>
  </property>
  <property fmtid="{D5CDD505-2E9C-101B-9397-08002B2CF9AE}" pid="13" name="crossrefYaml">
    <vt:lpwstr>pandoc-crossref.yaml</vt:lpwstr>
  </property>
  <property fmtid="{D5CDD505-2E9C-101B-9397-08002B2CF9AE}" pid="14" name="csl">
    <vt:lpwstr>remote-sensing-of-environment.csl</vt:lpwstr>
  </property>
  <property fmtid="{D5CDD505-2E9C-101B-9397-08002B2CF9AE}" pid="15" name="date">
    <vt:lpwstr>June 26, 2024</vt:lpwstr>
  </property>
  <property fmtid="{D5CDD505-2E9C-101B-9397-08002B2CF9AE}" pid="16" name="eqLabels">
    <vt:lpwstr>arabic</vt:lpwstr>
  </property>
  <property fmtid="{D5CDD505-2E9C-101B-9397-08002B2CF9AE}" pid="17" name="eqnBlockInlineMath">
    <vt:lpwstr>False</vt:lpwstr>
  </property>
  <property fmtid="{D5CDD505-2E9C-101B-9397-08002B2CF9AE}" pid="18" name="eqnBlockTemplate">
    <vt:lpwstr>ti</vt:lpwstr>
  </property>
  <property fmtid="{D5CDD505-2E9C-101B-9397-08002B2CF9AE}" pid="19" name="eqnIndexTemplate">
    <vt:lpwstr>(i)</vt:lpwstr>
  </property>
  <property fmtid="{D5CDD505-2E9C-101B-9397-08002B2CF9AE}" pid="20" name="eqnInlineTemplate">
    <vt:lpwstr>eequationNumberTeX{i}</vt:lpwstr>
  </property>
  <property fmtid="{D5CDD505-2E9C-101B-9397-08002B2CF9AE}" pid="21" name="eqnPrefix">
    <vt:lpwstr>eqnPrefix</vt:lpwstr>
  </property>
  <property fmtid="{D5CDD505-2E9C-101B-9397-08002B2CF9AE}" pid="22" name="eqnPrefixTemplate">
    <vt:lpwstr>p i</vt:lpwstr>
  </property>
  <property fmtid="{D5CDD505-2E9C-101B-9397-08002B2CF9AE}" pid="23" name="equationNumberTeX">
    <vt:lpwstr>\qquad</vt:lpwstr>
  </property>
  <property fmtid="{D5CDD505-2E9C-101B-9397-08002B2CF9AE}" pid="24" name="figLabels">
    <vt:lpwstr>arabic</vt:lpwstr>
  </property>
  <property fmtid="{D5CDD505-2E9C-101B-9397-08002B2CF9AE}" pid="25" name="figPrefix">
    <vt:lpwstr>figPrefix</vt:lpwstr>
  </property>
  <property fmtid="{D5CDD505-2E9C-101B-9397-08002B2CF9AE}" pid="26" name="figPrefixTemplate">
    <vt:lpwstr>p i</vt:lpwstr>
  </property>
  <property fmtid="{D5CDD505-2E9C-101B-9397-08002B2CF9AE}" pid="27" name="figureTemplate">
    <vt:lpwstr>figureTitle ititleDelim t</vt:lpwstr>
  </property>
  <property fmtid="{D5CDD505-2E9C-101B-9397-08002B2CF9AE}" pid="28" name="figureTitle">
    <vt:lpwstr>Figure</vt:lpwstr>
  </property>
  <property fmtid="{D5CDD505-2E9C-101B-9397-08002B2CF9AE}" pid="29" name="fontfamily">
    <vt:lpwstr>mathpazo</vt:lpwstr>
  </property>
  <property fmtid="{D5CDD505-2E9C-101B-9397-08002B2CF9AE}" pid="30" name="fontsize">
    <vt:lpwstr>12pt</vt:lpwstr>
  </property>
  <property fmtid="{D5CDD505-2E9C-101B-9397-08002B2CF9AE}" pid="31" name="geometry">
    <vt:lpwstr>margin = 1in</vt:lpwstr>
  </property>
  <property fmtid="{D5CDD505-2E9C-101B-9397-08002B2CF9AE}" pid="32" name="header-includes">
    <vt:lpwstr>header-includes</vt:lpwstr>
  </property>
  <property fmtid="{D5CDD505-2E9C-101B-9397-08002B2CF9AE}" pid="33" name="indent">
    <vt:lpwstr>True</vt:lpwstr>
  </property>
  <property fmtid="{D5CDD505-2E9C-101B-9397-08002B2CF9AE}" pid="34" name="lastDelim">
    <vt:lpwstr>,</vt:lpwstr>
  </property>
  <property fmtid="{D5CDD505-2E9C-101B-9397-08002B2CF9AE}" pid="35" name="linkReferences">
    <vt:lpwstr>False</vt:lpwstr>
  </property>
  <property fmtid="{D5CDD505-2E9C-101B-9397-08002B2CF9AE}" pid="36" name="listItemTitleDelim">
    <vt:lpwstr>.</vt:lpwstr>
  </property>
  <property fmtid="{D5CDD505-2E9C-101B-9397-08002B2CF9AE}" pid="37" name="listingTemplate">
    <vt:lpwstr>listingTitle ititleDelim t</vt:lpwstr>
  </property>
  <property fmtid="{D5CDD505-2E9C-101B-9397-08002B2CF9AE}" pid="38" name="listingTitle">
    <vt:lpwstr>Listing</vt:lpwstr>
  </property>
  <property fmtid="{D5CDD505-2E9C-101B-9397-08002B2CF9AE}" pid="39" name="listings">
    <vt:lpwstr>False</vt:lpwstr>
  </property>
  <property fmtid="{D5CDD505-2E9C-101B-9397-08002B2CF9AE}" pid="40" name="lofItemTemplate">
    <vt:lpwstr>lofItemTitleilistItemTitleDelimt</vt:lpwstr>
  </property>
  <property fmtid="{D5CDD505-2E9C-101B-9397-08002B2CF9AE}" pid="41" name="lofItemTitle">
    <vt:lpwstr>lofItemTitle</vt:lpwstr>
  </property>
  <property fmtid="{D5CDD505-2E9C-101B-9397-08002B2CF9AE}" pid="42" name="lofTitle">
    <vt:lpwstr>List of Figures</vt:lpwstr>
  </property>
  <property fmtid="{D5CDD505-2E9C-101B-9397-08002B2CF9AE}" pid="43" name="lolItemTemplate">
    <vt:lpwstr>lolItemTitleilistItemTitleDelimt</vt:lpwstr>
  </property>
  <property fmtid="{D5CDD505-2E9C-101B-9397-08002B2CF9AE}" pid="44" name="lolItemTitle">
    <vt:lpwstr>lolItemTitle</vt:lpwstr>
  </property>
  <property fmtid="{D5CDD505-2E9C-101B-9397-08002B2CF9AE}" pid="45" name="lolTitle">
    <vt:lpwstr>List of Listings</vt:lpwstr>
  </property>
  <property fmtid="{D5CDD505-2E9C-101B-9397-08002B2CF9AE}" pid="46" name="lotItemTemplate">
    <vt:lpwstr>lotItemTitleilistItemTitleDelimt</vt:lpwstr>
  </property>
  <property fmtid="{D5CDD505-2E9C-101B-9397-08002B2CF9AE}" pid="47" name="lotItemTitle">
    <vt:lpwstr>lotItemTitle</vt:lpwstr>
  </property>
  <property fmtid="{D5CDD505-2E9C-101B-9397-08002B2CF9AE}" pid="48" name="lotTitle">
    <vt:lpwstr>List of Tables</vt:lpwstr>
  </property>
  <property fmtid="{D5CDD505-2E9C-101B-9397-08002B2CF9AE}" pid="49" name="lstLabels">
    <vt:lpwstr>arabic</vt:lpwstr>
  </property>
  <property fmtid="{D5CDD505-2E9C-101B-9397-08002B2CF9AE}" pid="50" name="lstPrefix">
    <vt:lpwstr>lstPrefix</vt:lpwstr>
  </property>
  <property fmtid="{D5CDD505-2E9C-101B-9397-08002B2CF9AE}" pid="51" name="lstPrefixTemplate">
    <vt:lpwstr>p i</vt:lpwstr>
  </property>
  <property fmtid="{D5CDD505-2E9C-101B-9397-08002B2CF9AE}" pid="52" name="nameInLink">
    <vt:lpwstr>False</vt:lpwstr>
  </property>
  <property fmtid="{D5CDD505-2E9C-101B-9397-08002B2CF9AE}" pid="53" name="numberSections">
    <vt:lpwstr>False</vt:lpwstr>
  </property>
  <property fmtid="{D5CDD505-2E9C-101B-9397-08002B2CF9AE}" pid="54" name="output">
    <vt:lpwstr>output</vt:lpwstr>
  </property>
  <property fmtid="{D5CDD505-2E9C-101B-9397-08002B2CF9AE}" pid="55" name="pairDelim">
    <vt:lpwstr>,</vt:lpwstr>
  </property>
  <property fmtid="{D5CDD505-2E9C-101B-9397-08002B2CF9AE}" pid="56" name="rangeDelim">
    <vt:lpwstr>-</vt:lpwstr>
  </property>
  <property fmtid="{D5CDD505-2E9C-101B-9397-08002B2CF9AE}" pid="57" name="refDelim">
    <vt:lpwstr>,</vt:lpwstr>
  </property>
  <property fmtid="{D5CDD505-2E9C-101B-9397-08002B2CF9AE}" pid="58" name="refIndexTemplate">
    <vt:lpwstr>isuf</vt:lpwstr>
  </property>
  <property fmtid="{D5CDD505-2E9C-101B-9397-08002B2CF9AE}" pid="59" name="secHeaderDelim">
    <vt:lpwstr>secHeaderDelim</vt:lpwstr>
  </property>
  <property fmtid="{D5CDD505-2E9C-101B-9397-08002B2CF9AE}" pid="60" name="secHeaderTemplate">
    <vt:lpwstr>isecHeaderDelim[n]t</vt:lpwstr>
  </property>
  <property fmtid="{D5CDD505-2E9C-101B-9397-08002B2CF9AE}" pid="61" name="secLabels">
    <vt:lpwstr>arabic</vt:lpwstr>
  </property>
  <property fmtid="{D5CDD505-2E9C-101B-9397-08002B2CF9AE}" pid="62" name="secPrefix">
    <vt:lpwstr>secPrefix</vt:lpwstr>
  </property>
  <property fmtid="{D5CDD505-2E9C-101B-9397-08002B2CF9AE}" pid="63" name="secPrefixTemplate">
    <vt:lpwstr>p i</vt:lpwstr>
  </property>
  <property fmtid="{D5CDD505-2E9C-101B-9397-08002B2CF9AE}" pid="64" name="sectionsDepth">
    <vt:lpwstr>0</vt:lpwstr>
  </property>
  <property fmtid="{D5CDD505-2E9C-101B-9397-08002B2CF9AE}" pid="65" name="subfigGrid">
    <vt:lpwstr>False</vt:lpwstr>
  </property>
  <property fmtid="{D5CDD505-2E9C-101B-9397-08002B2CF9AE}" pid="66" name="subfigLabels">
    <vt:lpwstr>alpha a</vt:lpwstr>
  </property>
  <property fmtid="{D5CDD505-2E9C-101B-9397-08002B2CF9AE}" pid="67" name="subfigureChildTemplate">
    <vt:lpwstr>i</vt:lpwstr>
  </property>
  <property fmtid="{D5CDD505-2E9C-101B-9397-08002B2CF9AE}" pid="68" name="subfigureRefIndexTemplate">
    <vt:lpwstr>isuf (s)</vt:lpwstr>
  </property>
  <property fmtid="{D5CDD505-2E9C-101B-9397-08002B2CF9AE}" pid="69" name="subfigureTemplate">
    <vt:lpwstr>figureTitle ititleDelim t. ccs</vt:lpwstr>
  </property>
  <property fmtid="{D5CDD505-2E9C-101B-9397-08002B2CF9AE}" pid="70" name="tableEqns">
    <vt:lpwstr>False</vt:lpwstr>
  </property>
  <property fmtid="{D5CDD505-2E9C-101B-9397-08002B2CF9AE}" pid="71" name="tableTemplate">
    <vt:lpwstr>tableTitle ititleDelim t</vt:lpwstr>
  </property>
  <property fmtid="{D5CDD505-2E9C-101B-9397-08002B2CF9AE}" pid="72" name="tableTitle">
    <vt:lpwstr>Table</vt:lpwstr>
  </property>
  <property fmtid="{D5CDD505-2E9C-101B-9397-08002B2CF9AE}" pid="73" name="tblLabels">
    <vt:lpwstr>arabic</vt:lpwstr>
  </property>
  <property fmtid="{D5CDD505-2E9C-101B-9397-08002B2CF9AE}" pid="74" name="tblPrefix">
    <vt:lpwstr>tblPrefix</vt:lpwstr>
  </property>
  <property fmtid="{D5CDD505-2E9C-101B-9397-08002B2CF9AE}" pid="75" name="tblPrefixTemplate">
    <vt:lpwstr>p i</vt:lpwstr>
  </property>
  <property fmtid="{D5CDD505-2E9C-101B-9397-08002B2CF9AE}" pid="76" name="titleDelim">
    <vt:lpwstr>:</vt:lpwstr>
  </property>
</Properties>
</file>