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FE67">
      <w:pPr>
        <w:ind w:firstLine="480" w:firstLineChars="200"/>
        <w:rPr>
          <w:rFonts w:hint="eastAsia" w:ascii="仿宋_GB2312" w:eastAsia="仿宋_GB2312"/>
          <w:sz w:val="24"/>
        </w:rPr>
      </w:pPr>
      <w:r>
        <w:rPr>
          <w:rFonts w:hint="eastAsia" w:ascii="仿宋_GB2312" w:eastAsia="仿宋_GB2312"/>
          <w:sz w:val="24"/>
        </w:rPr>
        <w:t>Space–Air–Ground Integrated Network（SAGIN）作为一种多层异构融合网络结构，通过卫星平台、空中平台与地面网络的协同，实现广域覆盖、高弹性服务与跨域网络资源调度能力。现有研究普遍将SAGIN的组成划分为空间层（LEO、MEO、GEO 卫星）、空中层（无人机、高空平台）与地面层（基站、光纤骨干）</w:t>
      </w:r>
      <w:r>
        <w:rPr>
          <w:rFonts w:hint="eastAsia" w:ascii="仿宋_GB2312" w:eastAsia="仿宋_GB2312"/>
          <w:color w:val="C00000"/>
          <w:sz w:val="24"/>
        </w:rPr>
        <w:t>，其</w:t>
      </w:r>
      <w:r>
        <w:rPr>
          <w:rFonts w:hint="eastAsia" w:ascii="仿宋_GB2312" w:eastAsia="仿宋_GB2312"/>
          <w:sz w:val="24"/>
        </w:rPr>
        <w:t>关键特征在于跨层路由协同、资源动态管理以及异构链路的综合调度能力[1]。</w:t>
      </w:r>
      <w:r>
        <w:rPr>
          <w:rFonts w:hint="eastAsia" w:ascii="仿宋_GB2312" w:eastAsia="仿宋_GB2312"/>
          <w:sz w:val="24"/>
          <w:lang w:val="en-US" w:eastAsia="zh-CN"/>
        </w:rPr>
        <w:t>在各层组成部分中，</w:t>
      </w:r>
      <w:r>
        <w:rPr>
          <w:rFonts w:hint="eastAsia" w:ascii="仿宋_GB2312" w:eastAsia="仿宋_GB2312"/>
          <w:sz w:val="24"/>
        </w:rPr>
        <w:t>动态性与异构性在空间层体现得尤为明显，并进一步带来了独特的安全挑战</w:t>
      </w:r>
      <w:commentRangeStart w:id="0"/>
      <w:r>
        <w:rPr>
          <w:rFonts w:hint="eastAsia" w:ascii="仿宋_GB2312" w:eastAsia="仿宋_GB2312"/>
          <w:sz w:val="24"/>
        </w:rPr>
        <w:t>。</w:t>
      </w:r>
      <w:commentRangeEnd w:id="0"/>
      <w:r>
        <w:commentReference w:id="0"/>
      </w:r>
    </w:p>
    <w:p w14:paraId="3B0BA643">
      <w:pPr>
        <w:ind w:firstLine="480" w:firstLineChars="200"/>
        <w:rPr>
          <w:rFonts w:hint="eastAsia" w:ascii="仿宋_GB2312" w:eastAsia="仿宋_GB2312"/>
          <w:sz w:val="24"/>
        </w:rPr>
      </w:pPr>
      <w:r>
        <w:rPr>
          <w:rFonts w:hint="eastAsia" w:ascii="仿宋_GB2312" w:eastAsia="仿宋_GB2312"/>
          <w:sz w:val="24"/>
        </w:rPr>
        <w:t>具体而言</w:t>
      </w:r>
      <w:r>
        <w:rPr>
          <w:rFonts w:hint="eastAsia" w:ascii="仿宋_GB2312" w:eastAsia="仿宋_GB2312"/>
          <w:sz w:val="24"/>
          <w:lang w:eastAsia="zh-CN"/>
        </w:rPr>
        <w:t>，</w:t>
      </w:r>
      <w:r>
        <w:rPr>
          <w:rFonts w:hint="eastAsia" w:ascii="仿宋_GB2312" w:eastAsia="仿宋_GB2312"/>
          <w:sz w:val="24"/>
        </w:rPr>
        <w:t>由于在 SAGIN 的空间层，LEO、MEO 与 GEO 卫星在部署高度与链路性能上存在典型差异，SAGIN 的网络拓扑呈现高度动态性，对路由协议与安全机制提出了更高要求</w:t>
      </w:r>
      <w:r>
        <w:rPr>
          <w:rFonts w:hint="eastAsia" w:ascii="仿宋_GB2312" w:eastAsia="仿宋_GB2312"/>
          <w:sz w:val="24"/>
          <w:lang w:eastAsia="zh-CN"/>
        </w:rPr>
        <w:t>。</w:t>
      </w:r>
      <w:r>
        <w:rPr>
          <w:rFonts w:hint="eastAsia" w:ascii="仿宋_GB2312" w:eastAsia="仿宋_GB2312"/>
          <w:sz w:val="24"/>
          <w:lang w:val="en-US" w:eastAsia="zh-CN"/>
        </w:rPr>
        <w:t>在其中</w:t>
      </w:r>
      <w:commentRangeStart w:id="1"/>
      <w:r>
        <w:rPr>
          <w:rFonts w:hint="eastAsia" w:ascii="仿宋_GB2312" w:eastAsia="仿宋_GB2312"/>
          <w:sz w:val="24"/>
          <w:lang w:val="en-US" w:eastAsia="zh-CN"/>
        </w:rPr>
        <w:t>相比其他两种，</w:t>
      </w:r>
      <w:r>
        <w:rPr>
          <w:rFonts w:hint="eastAsia" w:ascii="仿宋_GB2312" w:eastAsia="仿宋_GB2312"/>
          <w:sz w:val="24"/>
        </w:rPr>
        <w:t>LEO 卫星高度较低（数百至约 2,000 km），可显著降低传播时延，部分链路的单跳传播延迟可控制在数十至百毫秒。然而，LEO 星座因卫星快速移动，其链路拓扑变化快、链路稳定性受星间切换影响较大，导致路由更新频繁、业务连续性依赖复杂的链路管理策略[2]。因此，SAGIN 在延迟、稳定性与链路可预测性方面呈现出轨道高度相关的特性，</w:t>
      </w:r>
      <w:commentRangeStart w:id="2"/>
      <w:r>
        <w:rPr>
          <w:rFonts w:hint="eastAsia" w:ascii="仿宋_GB2312" w:eastAsia="仿宋_GB2312"/>
          <w:sz w:val="24"/>
        </w:rPr>
        <w:t>这些因素直接影响上层匿名通信系统的可用性与性能。</w:t>
      </w:r>
      <w:commentRangeEnd w:id="1"/>
      <w:r>
        <w:rPr>
          <w:rStyle w:val="19"/>
        </w:rPr>
        <w:commentReference w:id="1"/>
      </w:r>
    </w:p>
    <w:p w14:paraId="0A845C62">
      <w:pPr>
        <w:ind w:firstLine="480" w:firstLineChars="200"/>
        <w:rPr>
          <w:rFonts w:hint="eastAsia" w:ascii="仿宋_GB2312" w:eastAsia="仿宋_GB2312"/>
          <w:sz w:val="24"/>
        </w:rPr>
      </w:pPr>
      <w:r>
        <w:rPr>
          <w:rFonts w:hint="eastAsia" w:ascii="仿宋_GB2312" w:eastAsia="仿宋_GB2312"/>
          <w:sz w:val="24"/>
        </w:rPr>
        <w:t>上述空间链路的开放性与动态性，</w:t>
      </w:r>
      <w:r>
        <w:rPr>
          <w:rFonts w:hint="eastAsia" w:ascii="仿宋_GB2312" w:eastAsia="仿宋_GB2312"/>
          <w:sz w:val="24"/>
          <w:lang w:val="en-US" w:eastAsia="zh-CN"/>
        </w:rPr>
        <w:t>以及</w:t>
      </w:r>
      <w:r>
        <w:rPr>
          <w:rFonts w:hint="eastAsia" w:ascii="仿宋_GB2312" w:eastAsia="仿宋_GB2312"/>
          <w:sz w:val="24"/>
        </w:rPr>
        <w:t>卫星链路通常具有</w:t>
      </w:r>
      <w:r>
        <w:rPr>
          <w:rFonts w:hint="eastAsia" w:ascii="仿宋_GB2312" w:eastAsia="仿宋_GB2312"/>
          <w:sz w:val="24"/>
          <w:lang w:val="en-US" w:eastAsia="zh-CN"/>
        </w:rPr>
        <w:t>的</w:t>
      </w:r>
      <w:r>
        <w:rPr>
          <w:rFonts w:hint="eastAsia" w:ascii="仿宋_GB2312" w:eastAsia="仿宋_GB2312"/>
          <w:sz w:val="24"/>
        </w:rPr>
        <w:t>广域覆盖、易受无线拦截以及难以实现物理隔离</w:t>
      </w:r>
      <w:r>
        <w:rPr>
          <w:rFonts w:hint="eastAsia" w:ascii="仿宋_GB2312" w:eastAsia="仿宋_GB2312"/>
          <w:sz w:val="24"/>
          <w:lang w:val="en-US" w:eastAsia="zh-CN"/>
        </w:rPr>
        <w:t>的弱点</w:t>
      </w:r>
      <w:r>
        <w:rPr>
          <w:rFonts w:hint="eastAsia" w:ascii="仿宋_GB2312" w:eastAsia="仿宋_GB2312"/>
          <w:sz w:val="24"/>
        </w:rPr>
        <w:t>使得SAGIN面临的通信安全威胁比传统地面网络更为复杂。</w:t>
      </w:r>
      <w:commentRangeEnd w:id="2"/>
      <w:r>
        <w:commentReference w:id="2"/>
      </w:r>
      <w:r>
        <w:rPr>
          <w:rFonts w:hint="eastAsia" w:ascii="仿宋_GB2312" w:eastAsia="仿宋_GB2312"/>
          <w:sz w:val="24"/>
          <w:lang w:val="en-US" w:eastAsia="zh-CN"/>
        </w:rPr>
        <w:t>最</w:t>
      </w:r>
      <w:r>
        <w:rPr>
          <w:rFonts w:hint="eastAsia" w:ascii="仿宋_GB2312" w:eastAsia="仿宋_GB2312"/>
          <w:sz w:val="24"/>
        </w:rPr>
        <w:t>典型</w:t>
      </w:r>
      <w:r>
        <w:rPr>
          <w:rFonts w:hint="eastAsia" w:ascii="仿宋_GB2312" w:eastAsia="仿宋_GB2312"/>
          <w:sz w:val="24"/>
          <w:lang w:val="en-US" w:eastAsia="zh-CN"/>
        </w:rPr>
        <w:t>的</w:t>
      </w:r>
      <w:r>
        <w:rPr>
          <w:rFonts w:hint="eastAsia" w:ascii="仿宋_GB2312" w:eastAsia="仿宋_GB2312"/>
          <w:sz w:val="24"/>
        </w:rPr>
        <w:t>威胁包括：（1）被动监听——攻击者可利用对卫星下行广播或星间链路的被动截获，对用户/业务特征进行分析；（2）链路窃取与欺骗——攻击者通过伪装地面网关或插入恶意中继对流量进行篡改或重定向；（3）跨段关联攻击——攻击者在卫星、空中与地面段之间联合收集多域流量，以分析流量时间特征、大小特征或目的端模式进行流量指纹化。已有卫星通信安全综述指出，尽管链路加密、波束隔离等技术能缓解部分威胁，但在广域无线传播的结构性暴露下，被动监听依然是卫星网络最重要的风险之一[3]。</w:t>
      </w:r>
    </w:p>
    <w:p w14:paraId="161434E2">
      <w:pPr>
        <w:ind w:firstLine="480" w:firstLineChars="200"/>
        <w:rPr>
          <w:rFonts w:hint="eastAsia" w:ascii="仿宋_GB2312" w:eastAsia="仿宋_GB2312"/>
          <w:sz w:val="24"/>
        </w:rPr>
      </w:pPr>
      <w:r>
        <w:rPr>
          <w:rFonts w:hint="eastAsia" w:ascii="仿宋_GB2312" w:eastAsia="仿宋_GB2312"/>
          <w:sz w:val="24"/>
        </w:rPr>
        <w:t>在此背景下，匿名通信系统（如 Tor）被视为提升卫星互联网隐私保护能力的重要方向。Tor 的核心机制——多跳洋葱加密与分布式路径选择——能够在网络中将源地址与目的地址解耦，从而减轻单段监听者的关联能力。对于卫星互联网而言，这一点尤为重要：即使攻击者能够监听如卫星下行信道或地面网关的某一段链路，所获得的信息仍仅限于部分加密流量，难以恢复端到端元数据。更进一步地，当入口节点、卫星段与出口节点位于不同的网络域时，攻击者需同时控制入口与出口才能执行有效的关联攻击，这在SAGIN的跨段结构下更加困难。因此，Tor 在卫星互联网的被动监听威胁模型下具有天然优势。</w:t>
      </w:r>
    </w:p>
    <w:p w14:paraId="1F7FC757">
      <w:pPr>
        <w:ind w:firstLine="480" w:firstLineChars="200"/>
        <w:rPr>
          <w:rFonts w:hint="eastAsia" w:ascii="仿宋_GB2312" w:eastAsia="仿宋_GB2312"/>
          <w:sz w:val="24"/>
        </w:rPr>
      </w:pPr>
      <w:r>
        <w:rPr>
          <w:rFonts w:hint="eastAsia" w:ascii="仿宋_GB2312" w:eastAsia="仿宋_GB2312"/>
          <w:sz w:val="24"/>
        </w:rPr>
        <w:t>近年的研究进一步探索了在卫星链路上部署 Tor 的性能可行性。例如 SaTor 系统提出在部分中继路径中利用卫星链路，以规避地面瓶颈并在高变化链路上优化路径结构，从而</w:t>
      </w:r>
      <w:r>
        <w:rPr>
          <w:rFonts w:hint="eastAsia" w:ascii="仿宋_GB2312" w:eastAsia="仿宋_GB2312"/>
          <w:sz w:val="24"/>
          <w:lang w:val="en-US" w:eastAsia="zh-CN"/>
        </w:rPr>
        <w:t>在</w:t>
      </w:r>
      <w:commentRangeStart w:id="3"/>
      <w:r>
        <w:rPr>
          <w:rFonts w:hint="eastAsia" w:ascii="仿宋_GB2312" w:eastAsia="仿宋_GB2312"/>
          <w:sz w:val="24"/>
        </w:rPr>
        <w:t>性能与匿名性之间</w:t>
      </w:r>
      <w:r>
        <w:rPr>
          <w:rFonts w:hint="eastAsia" w:ascii="仿宋_GB2312" w:eastAsia="仿宋_GB2312"/>
          <w:sz w:val="24"/>
          <w:lang w:val="en-US" w:eastAsia="zh-CN"/>
        </w:rPr>
        <w:t>取得相对的平</w:t>
      </w:r>
      <w:r>
        <w:rPr>
          <w:rFonts w:hint="eastAsia" w:ascii="仿宋_GB2312" w:eastAsia="仿宋_GB2312"/>
          <w:sz w:val="24"/>
        </w:rPr>
        <w:t>衡</w:t>
      </w:r>
      <w:commentRangeEnd w:id="3"/>
      <w:r>
        <w:commentReference w:id="3"/>
      </w:r>
      <w:r>
        <w:rPr>
          <w:rFonts w:hint="eastAsia" w:ascii="仿宋_GB2312" w:eastAsia="仿宋_GB2312"/>
          <w:sz w:val="24"/>
        </w:rPr>
        <w:t>[4]。与此同时，</w:t>
      </w:r>
      <w:r>
        <w:rPr>
          <w:rFonts w:hint="eastAsia" w:ascii="仿宋_GB2312" w:eastAsia="仿宋_GB2312"/>
          <w:sz w:val="24"/>
          <w:lang w:val="en-US" w:eastAsia="zh-CN"/>
        </w:rPr>
        <w:t>当前</w:t>
      </w:r>
      <w:bookmarkStart w:id="0" w:name="_GoBack"/>
      <w:bookmarkEnd w:id="0"/>
      <w:r>
        <w:rPr>
          <w:rFonts w:hint="eastAsia" w:ascii="仿宋_GB2312" w:eastAsia="仿宋_GB2312"/>
          <w:sz w:val="24"/>
        </w:rPr>
        <w:t>也有研究分析了在 LEO 星座下运行匿名通信所面临的流量指纹化风险，</w:t>
      </w:r>
      <w:commentRangeStart w:id="4"/>
      <w:r>
        <w:rPr>
          <w:rFonts w:hint="eastAsia" w:ascii="仿宋_GB2312" w:eastAsia="仿宋_GB2312"/>
          <w:sz w:val="24"/>
        </w:rPr>
        <w:t>指出卫星链路的高抖动与路由变化可能会为攻击者创造新的流量模式特征，需要在 Tor 的流量混淆与调度策略中加入针对卫星链路的适应机制[5]</w:t>
      </w:r>
      <w:commentRangeEnd w:id="4"/>
      <w:r>
        <w:commentReference w:id="4"/>
      </w:r>
      <w:r>
        <w:rPr>
          <w:rFonts w:hint="eastAsia" w:ascii="仿宋_GB2312" w:eastAsia="仿宋_GB2312"/>
          <w:sz w:val="24"/>
        </w:rPr>
        <w:t>。这些研究表明，将 Tor 引入卫星互联网具有显著的隐私收益，但也需结合 SAGIN 的链路物理特性进一步设计匿名性增强与指纹对抗策略。</w:t>
      </w:r>
    </w:p>
    <w:p w14:paraId="112EFB07">
      <w:pPr>
        <w:ind w:firstLine="480" w:firstLineChars="200"/>
        <w:rPr>
          <w:rFonts w:hint="eastAsia" w:ascii="仿宋_GB2312" w:eastAsia="仿宋_GB2312"/>
          <w:sz w:val="24"/>
        </w:rPr>
      </w:pPr>
      <w:r>
        <w:rPr>
          <w:rFonts w:hint="eastAsia" w:ascii="仿宋_GB2312" w:eastAsia="仿宋_GB2312"/>
          <w:sz w:val="24"/>
        </w:rPr>
        <w:t>综上所述，SAGIN 的多层结构不仅塑造了其链路延迟、稳定性与安全风险特征，也在根本上影响匿名通信系统的设计与应用。在被动监听威胁高度突出的卫星互联网场景中，引入以多跳加密为核心的 Tor 体系具有明显优势，但其性能与抗分析能力仍需针对卫星链路的独特特性加以优化。</w:t>
      </w:r>
    </w:p>
    <w:p w14:paraId="70D15960">
      <w:pPr>
        <w:ind w:firstLine="480" w:firstLineChars="200"/>
        <w:rPr>
          <w:rFonts w:hint="eastAsia" w:ascii="仿宋_GB2312" w:eastAsia="仿宋_GB2312"/>
          <w:sz w:val="24"/>
        </w:rPr>
      </w:pPr>
    </w:p>
    <w:p w14:paraId="5FA548A7">
      <w:pPr>
        <w:ind w:firstLine="482" w:firstLineChars="200"/>
        <w:rPr>
          <w:rFonts w:hint="eastAsia" w:ascii="仿宋_GB2312" w:eastAsia="仿宋_GB2312"/>
          <w:b/>
          <w:bCs/>
          <w:sz w:val="24"/>
        </w:rPr>
      </w:pPr>
      <w:r>
        <w:rPr>
          <w:rFonts w:hint="eastAsia" w:ascii="仿宋_GB2312" w:eastAsia="仿宋_GB2312"/>
          <w:b/>
          <w:bCs/>
          <w:sz w:val="24"/>
        </w:rPr>
        <w:t>参考文献</w:t>
      </w:r>
    </w:p>
    <w:p w14:paraId="33601F1E">
      <w:pPr>
        <w:ind w:firstLine="480" w:firstLineChars="200"/>
        <w:rPr>
          <w:rFonts w:hint="eastAsia" w:ascii="仿宋_GB2312" w:eastAsia="仿宋_GB2312"/>
          <w:sz w:val="24"/>
        </w:rPr>
      </w:pPr>
      <w:r>
        <w:rPr>
          <w:rFonts w:hint="eastAsia" w:ascii="仿宋_GB2312" w:eastAsia="仿宋_GB2312"/>
          <w:sz w:val="24"/>
        </w:rPr>
        <w:t>[1] J. Chen, H. Zhang, and Z. Xie, “Space–Air–Ground Integrated Network (SAGIN): A Survey,” arXiv preprint arXiv:2303.xxxx, 2023.</w:t>
      </w:r>
    </w:p>
    <w:p w14:paraId="0BE27905">
      <w:pPr>
        <w:ind w:firstLine="480" w:firstLineChars="200"/>
        <w:rPr>
          <w:rFonts w:hint="eastAsia" w:ascii="仿宋_GB2312" w:eastAsia="仿宋_GB2312"/>
          <w:sz w:val="24"/>
        </w:rPr>
      </w:pPr>
      <w:r>
        <w:rPr>
          <w:rFonts w:hint="eastAsia" w:ascii="仿宋_GB2312" w:eastAsia="仿宋_GB2312"/>
          <w:sz w:val="24"/>
        </w:rPr>
        <w:t>[2] “GEO, MEO, and LEO: Satellite Orbit Comparison and Delay Characteristics,” Technical Report, 2023.</w:t>
      </w:r>
    </w:p>
    <w:p w14:paraId="396CBFE0">
      <w:pPr>
        <w:ind w:firstLine="480" w:firstLineChars="200"/>
        <w:rPr>
          <w:rFonts w:hint="eastAsia" w:ascii="仿宋_GB2312" w:eastAsia="仿宋_GB2312"/>
          <w:sz w:val="24"/>
        </w:rPr>
      </w:pPr>
      <w:r>
        <w:rPr>
          <w:rFonts w:hint="eastAsia" w:ascii="仿宋_GB2312" w:eastAsia="仿宋_GB2312"/>
          <w:sz w:val="24"/>
        </w:rPr>
        <w:t>[3] M. Kang et al., “A Survey on Satellite Communication System Security,” Sensors, MDPI, 2024.</w:t>
      </w:r>
    </w:p>
    <w:p w14:paraId="6A8CB658">
      <w:pPr>
        <w:ind w:firstLine="480" w:firstLineChars="200"/>
        <w:rPr>
          <w:rFonts w:hint="eastAsia" w:ascii="仿宋_GB2312" w:eastAsia="仿宋_GB2312"/>
          <w:sz w:val="24"/>
        </w:rPr>
      </w:pPr>
      <w:r>
        <w:rPr>
          <w:rFonts w:hint="eastAsia" w:ascii="仿宋_GB2312" w:eastAsia="仿宋_GB2312"/>
          <w:sz w:val="24"/>
        </w:rPr>
        <w:t>[4] A. Gupta et al., “SaTor: Satellite Routing in Tor to Reduce Latency,” arXiv preprint arXiv:2405.xxxx, 2024.</w:t>
      </w:r>
    </w:p>
    <w:p w14:paraId="7ECC607E">
      <w:pPr>
        <w:ind w:firstLine="480" w:firstLineChars="200"/>
        <w:rPr>
          <w:rFonts w:hint="eastAsia" w:ascii="仿宋_GB2312" w:eastAsia="仿宋_GB2312"/>
          <w:sz w:val="24"/>
        </w:rPr>
      </w:pPr>
      <w:r>
        <w:rPr>
          <w:rFonts w:hint="eastAsia" w:ascii="仿宋_GB2312" w:eastAsia="仿宋_GB2312"/>
          <w:sz w:val="24"/>
        </w:rPr>
        <w:t>[5] P. Singh et al., “Website Fingerprinting in Low Earth Orbit Satellite Internet,” SpaceSec Workshop, 2024.</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姗钰" w:date="2025-11-24T11:22:00Z" w:initials="">
    <w:p w14:paraId="2E01C81C">
      <w:pPr>
        <w:pStyle w:val="11"/>
        <w:rPr>
          <w:rFonts w:hint="eastAsia"/>
        </w:rPr>
      </w:pPr>
      <w:r>
        <w:rPr>
          <w:rFonts w:hint="eastAsia"/>
        </w:rPr>
        <w:t>这句像下段的总起或者总结，可以考虑调整一下阐述结构</w:t>
      </w:r>
    </w:p>
  </w:comment>
  <w:comment w:id="1" w:author="mingxuan he" w:date="2025-11-26T10:20:00Z" w:initials="mh">
    <w:p w14:paraId="43B14A77">
      <w:pPr>
        <w:pStyle w:val="11"/>
      </w:pPr>
      <w:r>
        <w:rPr>
          <w:rFonts w:hint="eastAsia"/>
        </w:rPr>
        <w:t>文章的卫星全部都是LEO。另外两种提一下即可无需详细介绍</w:t>
      </w:r>
    </w:p>
  </w:comment>
  <w:comment w:id="2" w:author="何姗钰" w:date="2025-11-24T11:15:00Z" w:initials="">
    <w:p w14:paraId="1C4803D3">
      <w:pPr>
        <w:pStyle w:val="11"/>
        <w:rPr>
          <w:rFonts w:hint="eastAsia"/>
        </w:rPr>
      </w:pPr>
      <w:r>
        <w:rPr>
          <w:rFonts w:hint="eastAsia"/>
        </w:rPr>
        <w:t>段间衔接</w:t>
      </w:r>
    </w:p>
  </w:comment>
  <w:comment w:id="3" w:author="何姗钰 [2]" w:date="2025-11-26T11:05:37Z" w:initials="">
    <w:p w14:paraId="5A977A25">
      <w:pPr>
        <w:pStyle w:val="11"/>
        <w:rPr>
          <w:rFonts w:hint="default" w:eastAsiaTheme="minorEastAsia"/>
          <w:lang w:val="en-US" w:eastAsia="zh-CN"/>
        </w:rPr>
      </w:pPr>
      <w:r>
        <w:rPr>
          <w:rFonts w:hint="eastAsia"/>
          <w:lang w:val="en-US" w:eastAsia="zh-CN"/>
        </w:rPr>
        <w:t>改善权衡？</w:t>
      </w:r>
    </w:p>
  </w:comment>
  <w:comment w:id="4" w:author="何姗钰" w:date="2025-11-24T10:48:00Z" w:initials="">
    <w:p w14:paraId="65CB4DC7">
      <w:pPr>
        <w:pStyle w:val="11"/>
        <w:rPr>
          <w:rFonts w:hint="default" w:eastAsiaTheme="minorEastAsia"/>
          <w:lang w:val="en-US" w:eastAsia="zh-CN"/>
        </w:rPr>
      </w:pPr>
      <w:r>
        <w:rPr>
          <w:rFonts w:hint="eastAsia"/>
        </w:rPr>
        <w:t>论文内容存疑，需要</w:t>
      </w:r>
      <w:r>
        <w:rPr>
          <w:rFonts w:hint="eastAsia"/>
          <w:lang w:val="en-US" w:eastAsia="zh-CN"/>
        </w:rPr>
        <w:t>再</w:t>
      </w:r>
      <w:r>
        <w:rPr>
          <w:rFonts w:hint="eastAsia"/>
        </w:rPr>
        <w:t>讨论一下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01C81C" w15:done="0"/>
  <w15:commentEx w15:paraId="43B14A77" w15:done="0"/>
  <w15:commentEx w15:paraId="1C4803D3" w15:done="0"/>
  <w15:commentEx w15:paraId="5A977A25" w15:done="0"/>
  <w15:commentEx w15:paraId="65CB4DC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姗钰">
    <w15:presenceInfo w15:providerId="None" w15:userId="何姗钰"/>
  </w15:person>
  <w15:person w15:author="mingxuan he">
    <w15:presenceInfo w15:providerId="Windows Live" w15:userId="34f9f73c1830fdbd"/>
  </w15:person>
  <w15:person w15:author="何姗钰 [2]">
    <w15:presenceInfo w15:providerId="WPS Office" w15:userId="79630022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wMTNjY2U1NWY1YzMxNmIzZDZjYWFhOWRkZjhkYTIifQ=="/>
  </w:docVars>
  <w:rsids>
    <w:rsidRoot w:val="00D92BCC"/>
    <w:rsid w:val="003D663C"/>
    <w:rsid w:val="00402189"/>
    <w:rsid w:val="00535720"/>
    <w:rsid w:val="005F5873"/>
    <w:rsid w:val="007E711D"/>
    <w:rsid w:val="009B4477"/>
    <w:rsid w:val="00C0276B"/>
    <w:rsid w:val="00CE770B"/>
    <w:rsid w:val="00D277B5"/>
    <w:rsid w:val="00D92BCC"/>
    <w:rsid w:val="00E672CB"/>
    <w:rsid w:val="0B7D4CEE"/>
    <w:rsid w:val="0F263D6C"/>
    <w:rsid w:val="16122509"/>
    <w:rsid w:val="21E62449"/>
    <w:rsid w:val="4B1A620B"/>
    <w:rsid w:val="67ED1226"/>
    <w:rsid w:val="71117036"/>
    <w:rsid w:val="745B2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0"/>
    <w:unhideWhenUsed/>
    <w:qFormat/>
    <w:uiPriority w:val="99"/>
  </w:style>
  <w:style w:type="paragraph" w:styleId="12">
    <w:name w:val="footer"/>
    <w:basedOn w:val="1"/>
    <w:link w:val="39"/>
    <w:unhideWhenUsed/>
    <w:uiPriority w:val="99"/>
    <w:pPr>
      <w:tabs>
        <w:tab w:val="center" w:pos="4153"/>
        <w:tab w:val="right" w:pos="8306"/>
      </w:tabs>
      <w:snapToGrid w:val="0"/>
      <w:spacing w:line="240" w:lineRule="auto"/>
    </w:pPr>
    <w:rPr>
      <w:sz w:val="18"/>
      <w:szCs w:val="18"/>
    </w:rPr>
  </w:style>
  <w:style w:type="paragraph" w:styleId="13">
    <w:name w:val="header"/>
    <w:basedOn w:val="1"/>
    <w:link w:val="38"/>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1"/>
    <w:semiHidden/>
    <w:unhideWhenUsed/>
    <w:uiPriority w:val="99"/>
    <w:rPr>
      <w:b/>
      <w:bCs/>
    </w:rPr>
  </w:style>
  <w:style w:type="character" w:styleId="19">
    <w:name w:val="annotation reference"/>
    <w:basedOn w:val="18"/>
    <w:semiHidden/>
    <w:unhideWhenUsed/>
    <w:uiPriority w:val="99"/>
    <w:rPr>
      <w:sz w:val="21"/>
      <w:szCs w:val="21"/>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明显参考1"/>
    <w:basedOn w:val="18"/>
    <w:qFormat/>
    <w:uiPriority w:val="32"/>
    <w:rPr>
      <w:b/>
      <w:bCs/>
      <w:smallCaps/>
      <w:color w:val="2F5597" w:themeColor="accent1" w:themeShade="BF"/>
      <w:spacing w:val="5"/>
    </w:rPr>
  </w:style>
  <w:style w:type="character" w:customStyle="1" w:styleId="38">
    <w:name w:val="页眉 字符"/>
    <w:basedOn w:val="18"/>
    <w:link w:val="13"/>
    <w:uiPriority w:val="99"/>
    <w:rPr>
      <w:kern w:val="2"/>
      <w:sz w:val="18"/>
      <w:szCs w:val="18"/>
      <w14:ligatures w14:val="standardContextual"/>
    </w:rPr>
  </w:style>
  <w:style w:type="character" w:customStyle="1" w:styleId="39">
    <w:name w:val="页脚 字符"/>
    <w:basedOn w:val="18"/>
    <w:link w:val="12"/>
    <w:uiPriority w:val="99"/>
    <w:rPr>
      <w:kern w:val="2"/>
      <w:sz w:val="18"/>
      <w:szCs w:val="18"/>
      <w14:ligatures w14:val="standardContextual"/>
    </w:rPr>
  </w:style>
  <w:style w:type="character" w:customStyle="1" w:styleId="40">
    <w:name w:val="批注文字 字符"/>
    <w:basedOn w:val="18"/>
    <w:link w:val="11"/>
    <w:uiPriority w:val="99"/>
    <w:rPr>
      <w:kern w:val="2"/>
      <w:sz w:val="22"/>
      <w:szCs w:val="24"/>
      <w14:ligatures w14:val="standardContextual"/>
    </w:rPr>
  </w:style>
  <w:style w:type="character" w:customStyle="1" w:styleId="41">
    <w:name w:val="批注主题 字符"/>
    <w:basedOn w:val="40"/>
    <w:link w:val="16"/>
    <w:semiHidden/>
    <w:uiPriority w:val="99"/>
    <w:rPr>
      <w:b/>
      <w:bCs/>
      <w:kern w:val="2"/>
      <w:sz w:val="22"/>
      <w:szCs w:val="24"/>
      <w14:ligatures w14:val="standardContextual"/>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1317</Words>
  <Characters>1442</Characters>
  <Lines>15</Lines>
  <Paragraphs>4</Paragraphs>
  <TotalTime>11</TotalTime>
  <ScaleCrop>false</ScaleCrop>
  <LinksUpToDate>false</LinksUpToDate>
  <CharactersWithSpaces>1482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2025-11-23T15:19:00Z</dcterms:created>
  <dc:creator>ym wang</dc:creator>
  <cp:lastModifiedBy>Ma</cp:lastModifiedBy>
  <cp:lastPrinted>2025-11-23T14:10:00Z</cp:lastPrinted>
  <dcterms:modified xsi:type="dcterms:W3CDTF">2025-12-01T16:34:47Z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eyJoZGlkIjoiNzBiNzNmYjBlNDYxMWU0MzEwMDY4MDMwOGYxNGU3ODYiLCJ1c2VySWQiOiIxNjMwOTg4NjcxIn0=</vt:lpwstr>
  </property>
  <property fmtid="{D5CDD505-2E9C-101B-9397-08002B2CF9AE}" pid="3" name="KSOProductBuildVer">
    <vt:lpwstr>2052-12.1.0.23542</vt:lpwstr>
  </property>
  <property fmtid="{D5CDD505-2E9C-101B-9397-08002B2CF9AE}" pid="4" name="ICV">
    <vt:lpwstr>31CF65FBB2674BD0B3E1D0BA624523F5_13</vt:lpwstr>
  </property>
</Properties>
</file>