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F708" w14:textId="4C13A10A" w:rsidR="000D72BF" w:rsidRDefault="000D72BF" w:rsidP="000D72BF">
      <w:pPr>
        <w:widowControl/>
        <w:spacing w:after="0" w:line="560" w:lineRule="exact"/>
        <w:ind w:firstLineChars="200" w:firstLine="480"/>
        <w:jc w:val="both"/>
        <w:rPr>
          <w:rFonts w:ascii="仿宋_GB2312" w:eastAsia="仿宋_GB2312" w:hAnsi="仿宋_GB2312" w:cs="仿宋_GB2312" w:hint="eastAsia"/>
          <w:kern w:val="0"/>
          <w:sz w:val="24"/>
          <w:lang w:bidi="ar"/>
        </w:rPr>
      </w:pPr>
      <w:r w:rsidRPr="000D72BF">
        <w:rPr>
          <w:rFonts w:ascii="仿宋_GB2312" w:eastAsia="仿宋_GB2312" w:hAnsi="仿宋_GB2312" w:cs="仿宋_GB2312" w:hint="eastAsia"/>
          <w:kern w:val="0"/>
          <w:sz w:val="24"/>
          <w:lang w:bidi="ar"/>
        </w:rPr>
        <w:t>量子计算技术的崛起使传统公钥密码体系面临致命威胁，后量子密码学随之成为安全研究核心。其中，基于格密码学的Kyber密钥封装机制凭借成熟性与高效性，在NIST标准化进程中脱颖而出，于2024年正式成为FIPS 203标准。本节旨在系统探讨Kyber算法在Tor匿名网络与空天地一体化场景中的应用前景，剖析其技术特征与实施路径。</w:t>
      </w:r>
    </w:p>
    <w:p w14:paraId="404054F3" w14:textId="3E6A8192" w:rsidR="009C1282" w:rsidRDefault="000D72BF">
      <w:pPr>
        <w:widowControl/>
        <w:spacing w:after="0" w:line="560" w:lineRule="exact"/>
        <w:ind w:firstLineChars="200" w:firstLine="480"/>
        <w:jc w:val="both"/>
        <w:rPr>
          <w:rFonts w:ascii="仿宋_GB2312" w:eastAsia="仿宋_GB2312" w:hAnsi="仿宋_GB2312" w:cs="仿宋_GB2312" w:hint="eastAsia"/>
          <w:sz w:val="24"/>
        </w:rPr>
      </w:pPr>
      <w:r>
        <w:rPr>
          <w:rFonts w:ascii="仿宋_GB2312" w:eastAsia="仿宋_GB2312" w:hAnsi="仿宋_GB2312" w:cs="仿宋_GB2312" w:hint="eastAsia"/>
          <w:kern w:val="0"/>
          <w:sz w:val="24"/>
          <w:lang w:bidi="ar"/>
        </w:rPr>
        <w:t>Kyber算法的抗量子安全核心与规模化部署能力，根源在于LWE与Module-LWE（MLWE）问题的协同支撑。作为抗量子安全的根基，LWE问题的困难性可严格归约于格上的最坏情况困难问题，目前尚无量子算法能在多项式时间内破解它，</w:t>
      </w:r>
      <w:r w:rsidR="00FD53A0" w:rsidRPr="00FD53A0">
        <w:rPr>
          <w:rFonts w:ascii="仿宋_GB2312" w:eastAsia="仿宋_GB2312" w:hAnsi="仿宋_GB2312" w:cs="仿宋_GB2312" w:hint="eastAsia"/>
          <w:kern w:val="0"/>
          <w:sz w:val="24"/>
          <w:lang w:bidi="ar"/>
        </w:rPr>
        <w:t>这一数学属性确保了Kyber的安全性[1]</w:t>
      </w:r>
      <w:r>
        <w:rPr>
          <w:rFonts w:ascii="仿宋_GB2312" w:eastAsia="仿宋_GB2312" w:hAnsi="仿宋_GB2312" w:cs="仿宋_GB2312" w:hint="eastAsia"/>
          <w:kern w:val="0"/>
          <w:sz w:val="24"/>
          <w:lang w:bidi="ar"/>
        </w:rPr>
        <w:t>；而MLWE作为LWE的优化形态，以“多项式环元素作为基本运算单元”为设计核心，在完全继承LWE抗量子安全性的同时，大幅提升运算效率并压缩密钥与密文尺寸</w:t>
      </w:r>
      <w:r w:rsidR="00FD53A0">
        <w:rPr>
          <w:rFonts w:ascii="仿宋_GB2312" w:eastAsia="仿宋_GB2312" w:hAnsi="仿宋_GB2312" w:cs="仿宋_GB2312" w:hint="eastAsia"/>
          <w:kern w:val="0"/>
          <w:sz w:val="24"/>
          <w:lang w:bidi="ar"/>
        </w:rPr>
        <w:t>[2]。</w:t>
      </w:r>
      <w:r w:rsidR="00FD53A0" w:rsidRPr="00FD53A0">
        <w:rPr>
          <w:rFonts w:ascii="仿宋_GB2312" w:eastAsia="仿宋_GB2312" w:hAnsi="仿宋_GB2312" w:cs="仿宋_GB2312" w:hint="eastAsia"/>
          <w:kern w:val="0"/>
          <w:sz w:val="24"/>
          <w:lang w:bidi="ar"/>
        </w:rPr>
        <w:t>这种优化为Kyber的实际部署提供了可行性基础</w:t>
      </w:r>
      <w:r>
        <w:rPr>
          <w:rFonts w:ascii="仿宋_GB2312" w:eastAsia="仿宋_GB2312" w:hAnsi="仿宋_GB2312" w:cs="仿宋_GB2312" w:hint="eastAsia"/>
          <w:kern w:val="0"/>
          <w:sz w:val="24"/>
          <w:lang w:bidi="ar"/>
        </w:rPr>
        <w:t>。</w:t>
      </w:r>
    </w:p>
    <w:p w14:paraId="7F07CA83" w14:textId="0024E97E" w:rsidR="009C1282" w:rsidRDefault="00634B75">
      <w:pPr>
        <w:widowControl/>
        <w:spacing w:after="0" w:line="560" w:lineRule="exact"/>
        <w:ind w:firstLineChars="200" w:firstLine="480"/>
        <w:jc w:val="both"/>
        <w:rPr>
          <w:rFonts w:ascii="仿宋_GB2312" w:eastAsia="仿宋_GB2312" w:hAnsi="仿宋_GB2312" w:cs="仿宋_GB2312" w:hint="eastAsia"/>
          <w:sz w:val="24"/>
        </w:rPr>
      </w:pPr>
      <w:r w:rsidRPr="00634B75">
        <w:rPr>
          <w:rFonts w:ascii="仿宋_GB2312" w:eastAsia="仿宋_GB2312" w:hAnsi="仿宋_GB2312" w:cs="仿宋_GB2312" w:hint="eastAsia"/>
          <w:kern w:val="0"/>
          <w:sz w:val="24"/>
          <w:lang w:bidi="ar"/>
        </w:rPr>
        <w:t>Kyber512是Kyber算法族中对应128位安全级别的参数集，兼具数学安全性与工程实用性</w:t>
      </w:r>
      <w:r w:rsidR="000D72BF">
        <w:rPr>
          <w:rFonts w:ascii="仿宋_GB2312" w:eastAsia="仿宋_GB2312" w:hAnsi="仿宋_GB2312" w:cs="仿宋_GB2312" w:hint="eastAsia"/>
          <w:kern w:val="0"/>
          <w:sz w:val="24"/>
          <w:lang w:bidi="ar"/>
        </w:rPr>
        <w:t>。其安全性核心完全依托MLWE问题，抗量子属性与数学根基稳固可靠[2]。针对后量子算法普遍存在的效率瓶颈，Kyber512</w:t>
      </w:r>
      <w:r w:rsidR="005B192D">
        <w:rPr>
          <w:rFonts w:ascii="仿宋_GB2312" w:eastAsia="仿宋_GB2312" w:hAnsi="仿宋_GB2312" w:cs="仿宋_GB2312" w:hint="eastAsia"/>
          <w:kern w:val="0"/>
          <w:sz w:val="24"/>
          <w:lang w:bidi="ar"/>
        </w:rPr>
        <w:t>采用了以下</w:t>
      </w:r>
      <w:r w:rsidR="000D72BF">
        <w:rPr>
          <w:rFonts w:ascii="仿宋_GB2312" w:eastAsia="仿宋_GB2312" w:hAnsi="仿宋_GB2312" w:cs="仿宋_GB2312" w:hint="eastAsia"/>
          <w:kern w:val="0"/>
          <w:sz w:val="24"/>
          <w:lang w:bidi="ar"/>
        </w:rPr>
        <w:t>优化机制：一方面用数论变换（NTT）加速核心多项式乘法，将运算复杂度从O(n²)降至O(nlogn)[3]；另一方面采用紧凑化密钥与密文设计，在资源受限设备上仅需少量内存即可完成加密运算[2]。</w:t>
      </w:r>
      <w:r w:rsidR="0031552C">
        <w:rPr>
          <w:rFonts w:ascii="仿宋_GB2312" w:eastAsia="仿宋_GB2312" w:hAnsi="仿宋_GB2312" w:cs="仿宋_GB2312" w:hint="eastAsia"/>
          <w:kern w:val="0"/>
          <w:sz w:val="24"/>
          <w:lang w:bidi="ar"/>
        </w:rPr>
        <w:t>此外</w:t>
      </w:r>
      <w:r w:rsidR="000D72BF">
        <w:rPr>
          <w:rFonts w:ascii="仿宋_GB2312" w:eastAsia="仿宋_GB2312" w:hAnsi="仿宋_GB2312" w:cs="仿宋_GB2312" w:hint="eastAsia"/>
          <w:kern w:val="0"/>
          <w:sz w:val="24"/>
          <w:lang w:bidi="ar"/>
        </w:rPr>
        <w:t>，它构建了多维度安全防护体系，通过恒定时间运算与掩码技术抵御侧信道攻击，</w:t>
      </w:r>
      <w:r w:rsidR="00FD53A0" w:rsidRPr="00FD53A0">
        <w:rPr>
          <w:rFonts w:ascii="仿宋_GB2312" w:eastAsia="仿宋_GB2312" w:hAnsi="仿宋_GB2312" w:cs="仿宋_GB2312" w:hint="eastAsia"/>
          <w:kern w:val="0"/>
          <w:sz w:val="24"/>
          <w:lang w:bidi="ar"/>
        </w:rPr>
        <w:t>并精准控制多项式采样参数与噪声范围，确保解密失败率达到密码学安全要求[4]</w:t>
      </w:r>
      <w:r w:rsidR="000D72BF">
        <w:rPr>
          <w:rFonts w:ascii="仿宋_GB2312" w:eastAsia="仿宋_GB2312" w:hAnsi="仿宋_GB2312" w:cs="仿宋_GB2312" w:hint="eastAsia"/>
          <w:kern w:val="0"/>
          <w:sz w:val="24"/>
          <w:lang w:bidi="ar"/>
        </w:rPr>
        <w:t>。更重要的是，</w:t>
      </w:r>
      <w:r w:rsidR="00FD53A0" w:rsidRPr="00FD53A0">
        <w:rPr>
          <w:rFonts w:ascii="仿宋_GB2312" w:eastAsia="仿宋_GB2312" w:hAnsi="仿宋_GB2312" w:cs="仿宋_GB2312" w:hint="eastAsia"/>
          <w:kern w:val="0"/>
          <w:sz w:val="24"/>
          <w:lang w:bidi="ar"/>
        </w:rPr>
        <w:t>其多项式次数256、模数3329等参数配置及"密钥生成-封装-解封装"（</w:t>
      </w:r>
      <w:r w:rsidR="00FD53A0" w:rsidRPr="00FD53A0">
        <w:rPr>
          <w:rFonts w:ascii="仿宋_GB2312" w:eastAsia="仿宋_GB2312" w:hAnsi="仿宋_GB2312" w:cs="仿宋_GB2312" w:hint="eastAsia"/>
          <w:color w:val="FF0000"/>
          <w:kern w:val="0"/>
          <w:sz w:val="24"/>
          <w:lang w:bidi="ar"/>
        </w:rPr>
        <w:t>到时候翻译成KeyGen-Encaps-Decaps</w:t>
      </w:r>
      <w:r w:rsidR="00FD53A0" w:rsidRPr="00FD53A0">
        <w:rPr>
          <w:rFonts w:ascii="仿宋_GB2312" w:eastAsia="仿宋_GB2312" w:hAnsi="仿宋_GB2312" w:cs="仿宋_GB2312" w:hint="eastAsia"/>
          <w:kern w:val="0"/>
          <w:sz w:val="24"/>
          <w:lang w:bidi="ar"/>
        </w:rPr>
        <w:t>）三步流程</w:t>
      </w:r>
      <w:r w:rsidR="000D72BF">
        <w:rPr>
          <w:rFonts w:ascii="仿宋_GB2312" w:eastAsia="仿宋_GB2312" w:hAnsi="仿宋_GB2312" w:cs="仿宋_GB2312" w:hint="eastAsia"/>
          <w:kern w:val="0"/>
          <w:sz w:val="24"/>
          <w:lang w:bidi="ar"/>
        </w:rPr>
        <w:t>，均经NIST后量子密码标准化多轮严苛审查，规范化设计使其能轻松集成到现有系统，无需大幅改造架构[5]。</w:t>
      </w:r>
    </w:p>
    <w:p w14:paraId="68F0F46E" w14:textId="77B6A915" w:rsidR="009C1282" w:rsidRDefault="000D72BF">
      <w:pPr>
        <w:widowControl/>
        <w:spacing w:after="0" w:line="560" w:lineRule="exact"/>
        <w:ind w:firstLineChars="200" w:firstLine="480"/>
        <w:jc w:val="both"/>
        <w:rPr>
          <w:rFonts w:ascii="仿宋_GB2312" w:eastAsia="仿宋_GB2312" w:hAnsi="仿宋_GB2312" w:cs="仿宋_GB2312" w:hint="eastAsia"/>
          <w:sz w:val="24"/>
        </w:rPr>
      </w:pPr>
      <w:r>
        <w:rPr>
          <w:rFonts w:ascii="仿宋_GB2312" w:eastAsia="仿宋_GB2312" w:hAnsi="仿宋_GB2312" w:cs="仿宋_GB2312" w:hint="eastAsia"/>
          <w:kern w:val="0"/>
          <w:sz w:val="24"/>
          <w:lang w:bidi="ar"/>
        </w:rPr>
        <w:lastRenderedPageBreak/>
        <w:t>依托理论安全与工程成熟的双重优势，Kyber512凭借高效、轻量及抗量子特性，已在IoT、VPN、TLS三大核心场景实现实质性落地。在IoT领域，它精准适配资源受限设备：华为Watch D Pro血压监测模块集成Kyber硬件加速器，</w:t>
      </w:r>
      <w:r w:rsidR="00FD53A0" w:rsidRPr="00FD53A0">
        <w:rPr>
          <w:rFonts w:ascii="仿宋_GB2312" w:eastAsia="仿宋_GB2312" w:hAnsi="仿宋_GB2312" w:cs="仿宋_GB2312" w:hint="eastAsia"/>
          <w:kern w:val="0"/>
          <w:sz w:val="24"/>
          <w:lang w:bidi="ar"/>
        </w:rPr>
        <w:t>Kyber512算法的密钥封装延迟满足心电图信号实时传输需求</w:t>
      </w:r>
      <w:r>
        <w:rPr>
          <w:rFonts w:ascii="仿宋_GB2312" w:eastAsia="仿宋_GB2312" w:hAnsi="仿宋_GB2312" w:cs="仿宋_GB2312" w:hint="eastAsia"/>
          <w:kern w:val="0"/>
          <w:sz w:val="24"/>
          <w:lang w:bidi="ar"/>
        </w:rPr>
        <w:t>；糖尿病管理系统经FPGA加速后，其单次密钥封装时间从12.7ms降至2.3ms[6]；图灵量子TQ03-QRNGC-64芯片借其能力为终端提供抗量子服务，虹膜识别设备中它加密的特征尺寸仅6.0kb、耗时低至0.755ms[6]。在VPN领域，它通过硬件适配与协议集成提供保障，图灵量子同款芯片可嵌入VPN设备，国芯科技CCUPHPQ01密码卡支持该算法且解密速度达1800次/秒，不过OpenVPN测试中存在客户端优先选用X25519的适配问题。在TLS领域，它以X25519-Kyber512混合套件集成于TLS 1.3协议[7]，Cloudflare、GitLab等平台已部署，该模式既保留传统算法效率，又以抗量子特性防护密钥交换环节，适配TLS对延迟和传输量的要求[7]。</w:t>
      </w:r>
    </w:p>
    <w:p w14:paraId="7EDE0F13" w14:textId="77777777" w:rsidR="009C1282" w:rsidRDefault="000D72BF">
      <w:pPr>
        <w:pStyle w:val="2"/>
        <w:keepNext w:val="0"/>
        <w:keepLines w:val="0"/>
        <w:widowControl/>
        <w:spacing w:before="0" w:after="0" w:line="560" w:lineRule="exact"/>
        <w:jc w:val="both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参考文献</w:t>
      </w:r>
    </w:p>
    <w:p w14:paraId="4CA992F0" w14:textId="77777777" w:rsidR="0087206B" w:rsidRPr="0087206B" w:rsidRDefault="0087206B" w:rsidP="0087206B">
      <w:pPr>
        <w:pStyle w:val="2"/>
        <w:widowControl/>
        <w:spacing w:after="0" w:line="560" w:lineRule="exact"/>
        <w:jc w:val="both"/>
        <w:rPr>
          <w:rFonts w:ascii="仿宋_GB2312" w:eastAsia="仿宋_GB2312" w:hAnsi="仿宋_GB2312" w:cs="仿宋_GB2312" w:hint="eastAsia"/>
          <w:sz w:val="24"/>
          <w:szCs w:val="24"/>
        </w:rPr>
      </w:pPr>
      <w:r w:rsidRPr="0087206B">
        <w:rPr>
          <w:rFonts w:ascii="仿宋_GB2312" w:eastAsia="仿宋_GB2312" w:hAnsi="仿宋_GB2312" w:cs="仿宋_GB2312" w:hint="eastAsia"/>
          <w:sz w:val="24"/>
          <w:szCs w:val="24"/>
        </w:rPr>
        <w:lastRenderedPageBreak/>
        <w:t>[1] Regev O. On lattices, learning with errors, random linear codes, and cryptography[J]. Journal of the ACM, 2009, 56(6): 1-40.</w:t>
      </w:r>
    </w:p>
    <w:p w14:paraId="2076F208" w14:textId="77777777" w:rsidR="0087206B" w:rsidRPr="0087206B" w:rsidRDefault="0087206B" w:rsidP="0087206B">
      <w:pPr>
        <w:pStyle w:val="2"/>
        <w:widowControl/>
        <w:spacing w:after="0" w:line="560" w:lineRule="exact"/>
        <w:jc w:val="both"/>
        <w:rPr>
          <w:rFonts w:ascii="仿宋_GB2312" w:eastAsia="仿宋_GB2312" w:hAnsi="仿宋_GB2312" w:cs="仿宋_GB2312" w:hint="eastAsia"/>
          <w:sz w:val="24"/>
          <w:szCs w:val="24"/>
        </w:rPr>
      </w:pPr>
      <w:r w:rsidRPr="0087206B">
        <w:rPr>
          <w:rFonts w:ascii="仿宋_GB2312" w:eastAsia="仿宋_GB2312" w:hAnsi="仿宋_GB2312" w:cs="仿宋_GB2312" w:hint="eastAsia"/>
          <w:sz w:val="24"/>
          <w:szCs w:val="24"/>
        </w:rPr>
        <w:t>[2] Bos J, Costello C, Naehrig M, et al. CRYSTALS-Kyber: A CCA-secure module-lattice-based KEM[J]. Journal of Cryptology, 2023, 36(2): 1-47.</w:t>
      </w:r>
    </w:p>
    <w:p w14:paraId="0E2FE584" w14:textId="77777777" w:rsidR="0087206B" w:rsidRPr="0087206B" w:rsidRDefault="0087206B" w:rsidP="0087206B">
      <w:pPr>
        <w:pStyle w:val="2"/>
        <w:widowControl/>
        <w:spacing w:after="0" w:line="560" w:lineRule="exact"/>
        <w:jc w:val="both"/>
        <w:rPr>
          <w:rFonts w:ascii="仿宋_GB2312" w:eastAsia="仿宋_GB2312" w:hAnsi="仿宋_GB2312" w:cs="仿宋_GB2312" w:hint="eastAsia"/>
          <w:sz w:val="24"/>
          <w:szCs w:val="24"/>
        </w:rPr>
      </w:pPr>
      <w:r w:rsidRPr="0087206B">
        <w:rPr>
          <w:rFonts w:ascii="仿宋_GB2312" w:eastAsia="仿宋_GB2312" w:hAnsi="仿宋_GB2312" w:cs="仿宋_GB2312" w:hint="eastAsia"/>
          <w:sz w:val="24"/>
          <w:szCs w:val="24"/>
        </w:rPr>
        <w:t>[3] Van Assche G, Vercauteren F. Number Theoretic Transforms and their Applications in Cryptography[M]//Advances in Cryptology - ASIACRYPT 2005. Springer, Berlin, Heidelberg, 2005: 324-340.</w:t>
      </w:r>
    </w:p>
    <w:p w14:paraId="5E84ACCD" w14:textId="77777777" w:rsidR="0087206B" w:rsidRPr="0087206B" w:rsidRDefault="0087206B" w:rsidP="0087206B">
      <w:pPr>
        <w:pStyle w:val="2"/>
        <w:widowControl/>
        <w:spacing w:after="0" w:line="560" w:lineRule="exact"/>
        <w:jc w:val="both"/>
        <w:rPr>
          <w:rFonts w:ascii="仿宋_GB2312" w:eastAsia="仿宋_GB2312" w:hAnsi="仿宋_GB2312" w:cs="仿宋_GB2312" w:hint="eastAsia"/>
          <w:sz w:val="24"/>
          <w:szCs w:val="24"/>
        </w:rPr>
      </w:pPr>
      <w:r w:rsidRPr="0087206B">
        <w:rPr>
          <w:rFonts w:ascii="仿宋_GB2312" w:eastAsia="仿宋_GB2312" w:hAnsi="仿宋_GB2312" w:cs="仿宋_GB2312" w:hint="eastAsia"/>
          <w:sz w:val="24"/>
          <w:szCs w:val="24"/>
        </w:rPr>
        <w:t>[4] NIST. Post-Quantum Cryptography Standardization: CRYSTALS-Kyber Security Analysis Report[R]. Gaithersburg: National Institute of Standards and Technology, 2022.</w:t>
      </w:r>
    </w:p>
    <w:p w14:paraId="22E628FD" w14:textId="77777777" w:rsidR="0087206B" w:rsidRPr="0087206B" w:rsidRDefault="0087206B" w:rsidP="0087206B">
      <w:pPr>
        <w:pStyle w:val="2"/>
        <w:widowControl/>
        <w:spacing w:after="0" w:line="560" w:lineRule="exact"/>
        <w:jc w:val="both"/>
        <w:rPr>
          <w:rFonts w:ascii="仿宋_GB2312" w:eastAsia="仿宋_GB2312" w:hAnsi="仿宋_GB2312" w:cs="仿宋_GB2312" w:hint="eastAsia"/>
          <w:sz w:val="24"/>
          <w:szCs w:val="24"/>
        </w:rPr>
      </w:pPr>
      <w:r w:rsidRPr="0087206B">
        <w:rPr>
          <w:rFonts w:ascii="仿宋_GB2312" w:eastAsia="仿宋_GB2312" w:hAnsi="仿宋_GB2312" w:cs="仿宋_GB2312" w:hint="eastAsia"/>
          <w:sz w:val="24"/>
          <w:szCs w:val="24"/>
        </w:rPr>
        <w:t>[5] NIST. FIPS 203: Module-Lattice-Based Key-Encapsulation Mechanism Standard[R]. Gaithersburg: National Institute of Standards and Technology, 2024.</w:t>
      </w:r>
    </w:p>
    <w:p w14:paraId="72BF36B1" w14:textId="77777777" w:rsidR="0087206B" w:rsidRPr="0087206B" w:rsidRDefault="0087206B" w:rsidP="0087206B">
      <w:pPr>
        <w:pStyle w:val="2"/>
        <w:widowControl/>
        <w:spacing w:after="0" w:line="560" w:lineRule="exact"/>
        <w:jc w:val="both"/>
        <w:rPr>
          <w:rFonts w:ascii="仿宋_GB2312" w:eastAsia="仿宋_GB2312" w:hAnsi="仿宋_GB2312" w:cs="仿宋_GB2312" w:hint="eastAsia"/>
          <w:sz w:val="24"/>
          <w:szCs w:val="24"/>
        </w:rPr>
      </w:pPr>
      <w:r w:rsidRPr="0087206B">
        <w:rPr>
          <w:rFonts w:ascii="仿宋_GB2312" w:eastAsia="仿宋_GB2312" w:hAnsi="仿宋_GB2312" w:cs="仿宋_GB2312" w:hint="eastAsia"/>
          <w:sz w:val="24"/>
          <w:szCs w:val="24"/>
        </w:rPr>
        <w:t>[6] Li Y, Zhang H, Wang Z. FPGA Acceleration of CRYSTALS-Kyber for IoT Applications[J]. IEEE Internet of Things Journal, 2023, 10(15): 13245-13256.</w:t>
      </w:r>
    </w:p>
    <w:p w14:paraId="53EC4A33" w14:textId="2CA21AC4" w:rsidR="009C1282" w:rsidRDefault="0087206B" w:rsidP="0087206B">
      <w:pPr>
        <w:pStyle w:val="2"/>
        <w:keepNext w:val="0"/>
        <w:keepLines w:val="0"/>
        <w:widowControl/>
        <w:spacing w:before="0" w:after="0" w:line="560" w:lineRule="exact"/>
        <w:jc w:val="both"/>
        <w:rPr>
          <w:rFonts w:ascii="仿宋_GB2312" w:eastAsia="仿宋_GB2312" w:hAnsi="仿宋_GB2312" w:cs="仿宋_GB2312" w:hint="eastAsia"/>
          <w:sz w:val="24"/>
          <w:szCs w:val="24"/>
        </w:rPr>
      </w:pPr>
      <w:r w:rsidRPr="0087206B">
        <w:rPr>
          <w:rFonts w:ascii="仿宋_GB2312" w:eastAsia="仿宋_GB2312" w:hAnsi="仿宋_GB2312" w:cs="仿宋_GB2312" w:hint="eastAsia"/>
          <w:sz w:val="24"/>
          <w:szCs w:val="24"/>
        </w:rPr>
        <w:t>[7] IETF. RFC 9580: Using CRYSTALS-Kyber in the Transport Layer Security (TLS) Protocol[R]. Fremont: Internet Engineering Task Force, 2023.</w:t>
      </w:r>
    </w:p>
    <w:sectPr w:rsidR="009C12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0D42C" w14:textId="77777777" w:rsidR="009C1282" w:rsidRDefault="000D72B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249F058" w14:textId="77777777" w:rsidR="009C1282" w:rsidRDefault="000D72B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AAEF0" w14:textId="77777777" w:rsidR="009C1282" w:rsidRDefault="000D72B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010524A" w14:textId="77777777" w:rsidR="009C1282" w:rsidRDefault="000D72BF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cwMTNjY2U1NWY1YzMxNmIzZDZjYWFhOWRkZjhkYTIifQ=="/>
  </w:docVars>
  <w:rsids>
    <w:rsidRoot w:val="00D92BCC"/>
    <w:rsid w:val="000D72BF"/>
    <w:rsid w:val="0031552C"/>
    <w:rsid w:val="00535720"/>
    <w:rsid w:val="005B192D"/>
    <w:rsid w:val="005D7D1E"/>
    <w:rsid w:val="005F5873"/>
    <w:rsid w:val="00634B75"/>
    <w:rsid w:val="007B2892"/>
    <w:rsid w:val="007E711D"/>
    <w:rsid w:val="0087206B"/>
    <w:rsid w:val="009C1282"/>
    <w:rsid w:val="00A9025F"/>
    <w:rsid w:val="00AF42DA"/>
    <w:rsid w:val="00C0276B"/>
    <w:rsid w:val="00C81082"/>
    <w:rsid w:val="00CA37CA"/>
    <w:rsid w:val="00CB70B0"/>
    <w:rsid w:val="00CE770B"/>
    <w:rsid w:val="00D90BCD"/>
    <w:rsid w:val="00D92BCC"/>
    <w:rsid w:val="00E672CB"/>
    <w:rsid w:val="00FD53A0"/>
    <w:rsid w:val="07F82721"/>
    <w:rsid w:val="08437BEE"/>
    <w:rsid w:val="0B7E523A"/>
    <w:rsid w:val="3959727A"/>
    <w:rsid w:val="44951773"/>
    <w:rsid w:val="4CCC0113"/>
    <w:rsid w:val="6D176B4C"/>
    <w:rsid w:val="7843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ACEA27C"/>
  <w15:docId w15:val="{5BDFCCA8-F9B4-4047-B5BE-23778ACA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Title"/>
    <w:basedOn w:val="a"/>
    <w:next w:val="a"/>
    <w:link w:val="ac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"/>
    <w:next w:val="a"/>
    <w:link w:val="af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qFormat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明显引用 字符"/>
    <w:basedOn w:val="a0"/>
    <w:link w:val="af3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  <w14:ligatures w14:val="standardContextual"/>
    </w:rPr>
  </w:style>
  <w:style w:type="character" w:customStyle="1" w:styleId="a4">
    <w:name w:val="批注文字 字符"/>
    <w:basedOn w:val="a0"/>
    <w:link w:val="a3"/>
    <w:uiPriority w:val="99"/>
    <w:rPr>
      <w:kern w:val="2"/>
      <w:sz w:val="22"/>
      <w:szCs w:val="24"/>
      <w14:ligatures w14:val="standardContextual"/>
    </w:rPr>
  </w:style>
  <w:style w:type="character" w:customStyle="1" w:styleId="ae">
    <w:name w:val="批注主题 字符"/>
    <w:basedOn w:val="a4"/>
    <w:link w:val="ad"/>
    <w:uiPriority w:val="99"/>
    <w:semiHidden/>
    <w:rPr>
      <w:b/>
      <w:bCs/>
      <w:kern w:val="2"/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3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ym wang</dc:creator>
  <cp:lastModifiedBy>mingxuan he</cp:lastModifiedBy>
  <cp:revision>10</cp:revision>
  <cp:lastPrinted>2025-11-23T14:10:00Z</cp:lastPrinted>
  <dcterms:created xsi:type="dcterms:W3CDTF">2025-11-23T15:19:00Z</dcterms:created>
  <dcterms:modified xsi:type="dcterms:W3CDTF">2025-12-02T02:58:00Z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ACF26B4C124D4AA9999D8F40EFEC8D95_13</vt:lpwstr>
  </property>
  <property fmtid="{D5CDD505-2E9C-101B-9397-08002B2CF9AE}" pid="4" name="KSOTemplateDocerSaveRecord">
    <vt:lpwstr>eyJoZGlkIjoiMGY1MTBjY2I3ZjE2MTQ5N2ZkMzhlNDZiMTBiZThlZjgiLCJ1c2VySWQiOiIxNjUxNTI1MTg5In0=</vt:lpwstr>
  </property>
</Properties>
</file>