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字节域语义内容理解：码流图像分类实验报告</w:t>
      </w:r>
    </w:p>
    <w:p>
      <w:pPr>
        <w:jc w:val="center"/>
      </w:pPr>
      <w:r>
        <w:rPr>
          <w:color w:val="595959"/>
          <w:sz w:val="22"/>
        </w:rPr>
        <w:t>ByteFormer 直接建模 JPEG 原始字节序列 · 基础实验与参数对比</w:t>
      </w:r>
    </w:p>
    <w:p/>
    <w:p>
      <w:pPr>
        <w:pStyle w:val="Heading1"/>
      </w:pPr>
      <w:r>
        <w:rPr>
          <w:color w:val="1F4E79"/>
        </w:rPr>
        <w:t>摘要</w:t>
      </w:r>
    </w:p>
    <w:p>
      <w:r>
        <w:t>本实验使用 ByteFormer Tiny 预训练模型，直接对 MNIST 图像 JPEG 文件的原始字节序列进行建模，不经过 RGB 解码，完成 0–9 十类数字分类。基础配置 batch size=32 时，验证集最佳准确率为 94.9%，独立测试集准确率为 94.4%（944/1000）。将 batch size 改为 16 后，测试准确率降至 93.3%，训练时间由 201.21 s 增至 218.84 s。</w:t>
      </w:r>
    </w:p>
    <w:p>
      <w:pPr>
        <w:pStyle w:val="Heading1"/>
      </w:pPr>
      <w:r>
        <w:rPr>
          <w:color w:val="1F4E79"/>
        </w:rPr>
        <w:t>1. 实验背景与原理</w:t>
      </w:r>
    </w:p>
    <w:p>
      <w:r>
        <w:t>传统视觉分类流程通常是“图像文件→解码为 RGB 像素→CNN/Transformer”。本实验把 JPEG 文件视为 0–255 范围内的字节序列，直接学习文件头、压缩数据和文件尾中的结构信息。JPEG 码流包含 SOI、DQT、SOF、DHT、SOS、熵编码图像数据以及 EOI 等部分；这些结构共同组成模型的输入上下文。</w:t>
      </w:r>
    </w:p>
    <w:p>
      <w:r>
        <w:t>ByteFormer 是面向原始字节序列的 Transformer 架构。本实验采用 ByteFormer Tiny 预训练权重，并将分类头调整为 10 类。训练阶段使用原图和轻微旋转、平移视图；验证集和测试集保持独立，不参与训练增强。</w:t>
      </w:r>
    </w:p>
    <w:p>
      <w:pPr>
        <w:pStyle w:val="Heading1"/>
      </w:pPr>
      <w:r>
        <w:rPr>
          <w:color w:val="1F4E79"/>
        </w:rPr>
        <w:t>2. 数据集与实验设置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9"/>
          </w:tcPr>
          <w:p>
            <w:r>
              <w:rPr>
                <w:b/>
                <w:color w:val="FFFFFF"/>
              </w:rPr>
              <w:t>数据划分</w:t>
            </w:r>
          </w:p>
        </w:tc>
        <w:tc>
          <w:tcPr>
            <w:tcW w:type="dxa" w:w="3360"/>
            <w:shd w:fill="1F4E79"/>
          </w:tcPr>
          <w:p>
            <w:r>
              <w:rPr>
                <w:b/>
                <w:color w:val="FFFFFF"/>
              </w:rPr>
              <w:t>数量</w:t>
            </w:r>
          </w:p>
        </w:tc>
        <w:tc>
          <w:tcPr>
            <w:tcW w:type="dxa" w:w="3360"/>
            <w:shd w:fill="1F4E79"/>
          </w:tcPr>
          <w:p>
            <w:r>
              <w:rPr>
                <w:b/>
                <w:color w:val="FFFFFF"/>
              </w:rPr>
              <w:t>用途</w:t>
            </w:r>
          </w:p>
        </w:tc>
      </w:tr>
      <w:tr>
        <w:tc>
          <w:tcPr>
            <w:tcW w:type="dxa" w:w="3360"/>
            <w:vAlign w:val="center"/>
          </w:tcPr>
          <w:p>
            <w:r>
              <w:t>训练集</w:t>
            </w:r>
          </w:p>
        </w:tc>
        <w:tc>
          <w:tcPr>
            <w:tcW w:type="dxa" w:w="3360"/>
            <w:vAlign w:val="center"/>
          </w:tcPr>
          <w:p>
            <w:r>
              <w:t>5,000</w:t>
            </w:r>
          </w:p>
        </w:tc>
        <w:tc>
          <w:tcPr>
            <w:tcW w:type="dxa" w:w="3360"/>
            <w:vAlign w:val="center"/>
          </w:tcPr>
          <w:p>
            <w:r>
              <w:t>更新模型参数</w:t>
            </w:r>
          </w:p>
        </w:tc>
      </w:tr>
      <w:tr>
        <w:tc>
          <w:tcPr>
            <w:tcW w:type="dxa" w:w="3360"/>
            <w:vAlign w:val="center"/>
          </w:tcPr>
          <w:p>
            <w:r>
              <w:t>验证集</w:t>
            </w:r>
          </w:p>
        </w:tc>
        <w:tc>
          <w:tcPr>
            <w:tcW w:type="dxa" w:w="3360"/>
            <w:vAlign w:val="center"/>
          </w:tcPr>
          <w:p>
            <w:r>
              <w:t>1,000</w:t>
            </w:r>
          </w:p>
        </w:tc>
        <w:tc>
          <w:tcPr>
            <w:tcW w:type="dxa" w:w="3360"/>
            <w:vAlign w:val="center"/>
          </w:tcPr>
          <w:p>
            <w:r>
              <w:t>选择最佳模型</w:t>
            </w:r>
          </w:p>
        </w:tc>
      </w:tr>
      <w:tr>
        <w:tc>
          <w:tcPr>
            <w:tcW w:type="dxa" w:w="3360"/>
            <w:vAlign w:val="center"/>
          </w:tcPr>
          <w:p>
            <w:r>
              <w:t>测试集</w:t>
            </w:r>
          </w:p>
        </w:tc>
        <w:tc>
          <w:tcPr>
            <w:tcW w:type="dxa" w:w="3360"/>
            <w:vAlign w:val="center"/>
          </w:tcPr>
          <w:p>
            <w:r>
              <w:t>1,000</w:t>
            </w:r>
          </w:p>
        </w:tc>
        <w:tc>
          <w:tcPr>
            <w:tcW w:type="dxa" w:w="3360"/>
            <w:vAlign w:val="center"/>
          </w:tcPr>
          <w:p>
            <w:r>
              <w:t>最终独立评估</w:t>
            </w:r>
          </w:p>
        </w:tc>
      </w:tr>
    </w:tbl>
    <w:p>
      <w:r>
        <w:t>运行环境：Tesla T4 GPU，Python 3.12.13，PyTorch 2.10.0+cu128，随机种子 42，训练 10 轮，主干学习率 1e-4，weight decay 0.01，并在第 7、10 轮进行学习率衰减。</w:t>
      </w:r>
    </w:p>
    <w:p>
      <w:pPr>
        <w:pStyle w:val="Heading1"/>
      </w:pPr>
      <w:r>
        <w:rPr>
          <w:color w:val="1F4E79"/>
        </w:rPr>
        <w:t>3. 实验流程</w:t>
      </w:r>
    </w:p>
    <w:p>
      <w:pPr>
        <w:pStyle w:val="ListBullet"/>
      </w:pPr>
      <w:r>
        <w:t>准备数据、ByteFormer 预训练权重与运行环境。</w:t>
      </w:r>
    </w:p>
    <w:p>
      <w:pPr>
        <w:pStyle w:val="ListBullet"/>
      </w:pPr>
      <w:r>
        <w:t>使用 batch size=32 进行基础训练，每轮在验证集上评估并保存最佳权重。</w:t>
      </w:r>
    </w:p>
    <w:p>
      <w:pPr>
        <w:pStyle w:val="ListBullet"/>
      </w:pPr>
      <w:r>
        <w:t>使用独立测试集计算最终准确率、损失和混淆矩阵。</w:t>
      </w:r>
    </w:p>
    <w:p>
      <w:pPr>
        <w:pStyle w:val="ListBullet"/>
      </w:pPr>
      <w:r>
        <w:t>将 batch size 改为 16，其他条件保持不变，进行参数对比。</w:t>
      </w:r>
    </w:p>
    <w:p>
      <w:pPr>
        <w:pStyle w:val="ListBullet"/>
      </w:pPr>
      <w:r>
        <w:t>检查单图预测和典型错例，分析模型混淆来源。</w:t>
      </w:r>
    </w:p>
    <w:p>
      <w:r>
        <w:t>核心命令：</w:t>
      </w:r>
    </w:p>
    <w:p>
      <w:r>
        <w:rPr>
          <w:rFonts w:ascii="Consolas" w:hAnsi="Consolas"/>
          <w:sz w:val="18"/>
        </w:rPr>
        <w:t>python train_course_subset.py --method clean --epochs 10 --batch-size 32 --clean-augmentations --output outputs/course_clean_v2</w:t>
      </w:r>
    </w:p>
    <w:p>
      <w:r>
        <w:rPr>
          <w:rFonts w:ascii="Consolas" w:hAnsi="Consolas"/>
          <w:sz w:val="18"/>
        </w:rPr>
        <w:t>python evaluate.py --checkpoint outputs/course_clean_v2/best.pt --output outputs/course_clean_v2_eval</w:t>
      </w:r>
    </w:p>
    <w:p>
      <w:r>
        <w:rPr>
          <w:rFonts w:ascii="Consolas" w:hAnsi="Consolas"/>
          <w:sz w:val="18"/>
        </w:rPr>
        <w:t>python predict.py --checkpoint outputs/course_clean_v2/best.pt --index 0</w:t>
      </w:r>
    </w:p>
    <w:p>
      <w:pPr>
        <w:pStyle w:val="Heading1"/>
      </w:pPr>
      <w:r>
        <w:rPr>
          <w:color w:val="1F4E79"/>
        </w:rPr>
        <w:t>4. 基线实验结果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9"/>
          </w:tcPr>
          <w:p>
            <w:r>
              <w:rPr>
                <w:b/>
                <w:color w:val="FFFFFF"/>
              </w:rPr>
              <w:t>指标</w:t>
            </w:r>
          </w:p>
        </w:tc>
        <w:tc>
          <w:tcPr>
            <w:tcW w:type="dxa" w:w="5040"/>
            <w:shd w:fill="1F4E79"/>
          </w:tcPr>
          <w:p>
            <w:r>
              <w:rPr>
                <w:b/>
                <w:color w:val="FFFFFF"/>
              </w:rPr>
              <w:t>结果</w:t>
            </w:r>
          </w:p>
        </w:tc>
      </w:tr>
      <w:tr>
        <w:tc>
          <w:tcPr>
            <w:tcW w:type="dxa" w:w="5040"/>
          </w:tcPr>
          <w:p>
            <w:r>
              <w:t>最佳验证准确率</w:t>
            </w:r>
          </w:p>
        </w:tc>
        <w:tc>
          <w:tcPr>
            <w:tcW w:type="dxa" w:w="5040"/>
          </w:tcPr>
          <w:p>
            <w:r>
              <w:t>94.9%（第10轮）</w:t>
            </w:r>
          </w:p>
        </w:tc>
      </w:tr>
      <w:tr>
        <w:tc>
          <w:tcPr>
            <w:tcW w:type="dxa" w:w="5040"/>
          </w:tcPr>
          <w:p>
            <w:r>
              <w:t>最终训练准确率</w:t>
            </w:r>
          </w:p>
        </w:tc>
        <w:tc>
          <w:tcPr>
            <w:tcW w:type="dxa" w:w="5040"/>
          </w:tcPr>
          <w:p>
            <w:r>
              <w:t>97.58%</w:t>
            </w:r>
          </w:p>
        </w:tc>
      </w:tr>
      <w:tr>
        <w:tc>
          <w:tcPr>
            <w:tcW w:type="dxa" w:w="5040"/>
          </w:tcPr>
          <w:p>
            <w:r>
              <w:t>独立测试准确率</w:t>
            </w:r>
          </w:p>
        </w:tc>
        <w:tc>
          <w:tcPr>
            <w:tcW w:type="dxa" w:w="5040"/>
          </w:tcPr>
          <w:p>
            <w:r>
              <w:t>94.4%（944/1000）</w:t>
            </w:r>
          </w:p>
        </w:tc>
      </w:tr>
      <w:tr>
        <w:tc>
          <w:tcPr>
            <w:tcW w:type="dxa" w:w="5040"/>
          </w:tcPr>
          <w:p>
            <w:r>
              <w:t>测试损失</w:t>
            </w:r>
          </w:p>
        </w:tc>
        <w:tc>
          <w:tcPr>
            <w:tcW w:type="dxa" w:w="5040"/>
          </w:tcPr>
          <w:p>
            <w:r>
              <w:t>0.2225</w:t>
            </w:r>
          </w:p>
        </w:tc>
      </w:tr>
      <w:tr>
        <w:tc>
          <w:tcPr>
            <w:tcW w:type="dxa" w:w="5040"/>
          </w:tcPr>
          <w:p>
            <w:r>
              <w:t>训练耗时</w:t>
            </w:r>
          </w:p>
        </w:tc>
        <w:tc>
          <w:tcPr>
            <w:tcW w:type="dxa" w:w="5040"/>
          </w:tcPr>
          <w:p>
            <w:r>
              <w:t>201.21 s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1195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seline_curv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119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训练损失整体下降，训练准确率持续提升。第 8 轮学习率从 1e-4 降至 2e-5 后，验证准确率由 91.3% 提升至 94.3%，第 10 轮达到 94.9%。测试准确率与验证准确率接近，说明模型具有较好的泛化能力。</w:t>
      </w:r>
    </w:p>
    <w:p>
      <w:pPr>
        <w:pStyle w:val="Heading1"/>
      </w:pPr>
      <w:r>
        <w:rPr>
          <w:color w:val="1F4E79"/>
        </w:rPr>
        <w:t>5. 参数对比实验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1F4E79"/>
          </w:tcPr>
          <w:p>
            <w:r>
              <w:rPr>
                <w:b/>
                <w:color w:val="FFFFFF"/>
              </w:rPr>
              <w:t>实验</w:t>
            </w:r>
          </w:p>
        </w:tc>
        <w:tc>
          <w:tcPr>
            <w:tcW w:type="dxa" w:w="2016"/>
            <w:shd w:fill="1F4E79"/>
          </w:tcPr>
          <w:p>
            <w:r>
              <w:rPr>
                <w:b/>
                <w:color w:val="FFFFFF"/>
              </w:rPr>
              <w:t>Epochs</w:t>
            </w:r>
          </w:p>
        </w:tc>
        <w:tc>
          <w:tcPr>
            <w:tcW w:type="dxa" w:w="2016"/>
            <w:shd w:fill="1F4E79"/>
          </w:tcPr>
          <w:p>
            <w:r>
              <w:rPr>
                <w:b/>
                <w:color w:val="FFFFFF"/>
              </w:rPr>
              <w:t>Batch size</w:t>
            </w:r>
          </w:p>
        </w:tc>
        <w:tc>
          <w:tcPr>
            <w:tcW w:type="dxa" w:w="2016"/>
            <w:shd w:fill="1F4E79"/>
          </w:tcPr>
          <w:p>
            <w:r>
              <w:rPr>
                <w:b/>
                <w:color w:val="FFFFFF"/>
              </w:rPr>
              <w:t>验证准确率</w:t>
            </w:r>
          </w:p>
        </w:tc>
        <w:tc>
          <w:tcPr>
            <w:tcW w:type="dxa" w:w="2016"/>
            <w:shd w:fill="1F4E79"/>
          </w:tcPr>
          <w:p>
            <w:r>
              <w:rPr>
                <w:b/>
                <w:color w:val="FFFFFF"/>
              </w:rPr>
              <w:t>测试准确率</w:t>
            </w:r>
          </w:p>
        </w:tc>
      </w:tr>
      <w:tr>
        <w:tc>
          <w:tcPr>
            <w:tcW w:type="dxa" w:w="2016"/>
          </w:tcPr>
          <w:p>
            <w:r>
              <w:t>基线</w:t>
            </w:r>
          </w:p>
        </w:tc>
        <w:tc>
          <w:tcPr>
            <w:tcW w:type="dxa" w:w="2016"/>
          </w:tcPr>
          <w:p>
            <w:r>
              <w:t>10</w:t>
            </w:r>
          </w:p>
        </w:tc>
        <w:tc>
          <w:tcPr>
            <w:tcW w:type="dxa" w:w="2016"/>
          </w:tcPr>
          <w:p>
            <w:r>
              <w:t>32</w:t>
            </w:r>
          </w:p>
        </w:tc>
        <w:tc>
          <w:tcPr>
            <w:tcW w:type="dxa" w:w="2016"/>
          </w:tcPr>
          <w:p>
            <w:r>
              <w:t>94.9%</w:t>
            </w:r>
          </w:p>
        </w:tc>
        <w:tc>
          <w:tcPr>
            <w:tcW w:type="dxa" w:w="2016"/>
          </w:tcPr>
          <w:p>
            <w:r>
              <w:t>94.4%</w:t>
            </w:r>
          </w:p>
        </w:tc>
      </w:tr>
      <w:tr>
        <w:tc>
          <w:tcPr>
            <w:tcW w:type="dxa" w:w="2016"/>
          </w:tcPr>
          <w:p>
            <w:r>
              <w:t>对比</w:t>
            </w:r>
          </w:p>
        </w:tc>
        <w:tc>
          <w:tcPr>
            <w:tcW w:type="dxa" w:w="2016"/>
          </w:tcPr>
          <w:p>
            <w:r>
              <w:t>10</w:t>
            </w:r>
          </w:p>
        </w:tc>
        <w:tc>
          <w:tcPr>
            <w:tcW w:type="dxa" w:w="2016"/>
          </w:tcPr>
          <w:p>
            <w:r>
              <w:t>16</w:t>
            </w:r>
          </w:p>
        </w:tc>
        <w:tc>
          <w:tcPr>
            <w:tcW w:type="dxa" w:w="2016"/>
          </w:tcPr>
          <w:p>
            <w:r>
              <w:t>94.3%</w:t>
            </w:r>
          </w:p>
        </w:tc>
        <w:tc>
          <w:tcPr>
            <w:tcW w:type="dxa" w:w="2016"/>
          </w:tcPr>
          <w:p>
            <w:r>
              <w:t>93.3%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1195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_curv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119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batch size 从 32 减小到 16 后，验证准确率下降 0.6 个百分点，测试准确率下降 1.1 个百分点，训练时间增加约 17.63 s。当前设置下 batch size=32 收敛更快、最终性能更好，因此选择其作为最终基线。</w:t>
      </w:r>
    </w:p>
    <w:p>
      <w:pPr>
        <w:pStyle w:val="Heading1"/>
      </w:pPr>
      <w:r>
        <w:rPr>
          <w:color w:val="1F4E79"/>
        </w:rPr>
        <w:t>6. 单图预测与错例分析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20848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diction_sing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0848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测试索引 0 的样本真实标签为 7，模型预测为 7，置信度约 99.96%。混淆矩阵显示模型共错分 56 个样本，主要混淆集中在 5/3、7/9 等笔画结构相似的数字之间。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191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seline_confusion_matri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9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1F4E79"/>
        </w:rPr>
        <w:t>7. 结论与后续工作</w:t>
      </w:r>
    </w:p>
    <w:p>
      <w:pPr>
        <w:pStyle w:val="ListBullet"/>
      </w:pPr>
      <w:r>
        <w:t>直接对 JPEG 原始字节序列建模可以完成有效的 MNIST 十分类。</w:t>
      </w:r>
    </w:p>
    <w:p>
      <w:pPr>
        <w:pStyle w:val="ListBullet"/>
      </w:pPr>
      <w:r>
        <w:t>ByteFormer Tiny 在 5,000 个训练样本上取得 94.4% 的独立测试准确率。</w:t>
      </w:r>
    </w:p>
    <w:p>
      <w:pPr>
        <w:pStyle w:val="ListBullet"/>
      </w:pPr>
      <w:r>
        <w:t>batch size=32 优于 batch size=16，说明当前训练配置下较大的批量有利于收敛和泛化。</w:t>
      </w:r>
    </w:p>
    <w:p>
      <w:pPr>
        <w:pStyle w:val="ListBullet"/>
      </w:pPr>
      <w:r>
        <w:t>后续可加入比特翻转和字节丢失增强，进一步评估模型对码流损坏的鲁棒性。</w:t>
      </w:r>
    </w:p>
    <w:p>
      <w:pPr>
        <w:pStyle w:val="Heading1"/>
      </w:pPr>
      <w:r>
        <w:rPr>
          <w:color w:val="1F4E79"/>
        </w:rPr>
        <w:t>附录：提交文件清单</w:t>
      </w:r>
    </w:p>
    <w:p>
      <w:r>
        <w:t>建议提交实验报告、基础模型 best.pt、训练指标与曲线、测试评估结果、参数对比结果以及单图预测图。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