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差旅管理制度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FIN-POL-003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财务部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V2.0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已失效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2025-06-01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2026-04-30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郑宁·财务BP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一、适用范围</w:t>
      </w:r>
    </w:p>
    <w:p>
      <w:r>
        <w:t>适用于公司正式员工因公发生的国内差旅。外包、供应商及客户费用不适用本制度。</w:t>
      </w:r>
    </w:p>
    <w:p>
      <w:pPr>
        <w:pStyle w:val="Heading1"/>
      </w:pPr>
      <w:r>
        <w:t>二、住宿标准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城市级别</w:t>
            </w:r>
          </w:p>
        </w:tc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住宿上限（元/间夜）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一线城市（北京、上海、广州、深圳）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500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新一线及省会城市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400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其他城市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300</w:t>
            </w:r>
          </w:p>
        </w:tc>
      </w:tr>
    </w:tbl>
    <w:p/>
    <w:p>
      <w:pPr>
        <w:pStyle w:val="Heading1"/>
      </w:pPr>
      <w:r>
        <w:t>三、交通标准</w:t>
      </w:r>
    </w:p>
    <w:p>
      <w:pPr>
        <w:pStyle w:val="ListBullet"/>
      </w:pPr>
      <w:r>
        <w:t>高铁/动车：二等座。</w:t>
      </w:r>
    </w:p>
    <w:p>
      <w:pPr>
        <w:pStyle w:val="ListBullet"/>
      </w:pPr>
      <w:r>
        <w:t>飞机：经济舱；单程高铁超过6小时可选择经济舱。</w:t>
      </w:r>
    </w:p>
    <w:p>
      <w:pPr>
        <w:pStyle w:val="ListBullet"/>
      </w:pPr>
      <w:r>
        <w:t>市内交通原则上凭合规票据按实报销。</w:t>
      </w:r>
    </w:p>
    <w:p>
      <w:pPr>
        <w:pStyle w:val="Heading1"/>
      </w:pPr>
      <w:r>
        <w:t>四、报销时限</w:t>
      </w:r>
    </w:p>
    <w:p>
      <w:r>
        <w:t>出差结束后10个工作日内完成报销申请。</w:t>
      </w:r>
    </w:p>
    <w:p>
      <w:pPr>
        <w:pStyle w:val="Heading1"/>
      </w:pPr>
      <w:r>
        <w:t>五、版本说明</w:t>
      </w:r>
    </w:p>
    <w:p>
      <w:r>
        <w:t>本版本已于2026年5月1日失效。当前差旅标准请查询V2.1。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