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color w:val="5A5A5A"/>
          <w:sz w:val="22"/>
        </w:rPr>
        <w:t>星瀚科技有限公司</w:t>
      </w:r>
    </w:p>
    <w:p>
      <w:pPr>
        <w:jc w:val="center"/>
      </w:pPr>
      <w:r>
        <w:rPr>
          <w:rFonts w:ascii="Microsoft YaHei" w:hAnsi="Microsoft YaHei" w:eastAsia="Microsoft YaHei"/>
          <w:b/>
          <w:sz w:val="40"/>
        </w:rPr>
        <w:t>差旅管理制度</w:t>
      </w:r>
    </w:p>
    <w:tbl>
      <w:tblPr>
        <w:tblStyle w:val="TableGrid"/>
        <w:tblW w:type="auto" w:w="0"/>
        <w:jc w:val="center"/>
        <w:tblLook w:firstColumn="1" w:firstRow="1" w:lastColumn="0" w:lastRow="0" w:noHBand="0" w:noVBand="1" w:val="04A0"/>
      </w:tblPr>
      <w:tblGrid>
        <w:gridCol w:w="4986"/>
        <w:gridCol w:w="4986"/>
      </w:tblGrid>
      <w:tr>
        <w:tc>
          <w:tcPr>
            <w:tcW w:type="dxa" w:w="4986"/>
            <w:shd w:fill="EDEDED"/>
            <w:vAlign w:val="center"/>
          </w:tcPr>
          <w:p>
            <w:r>
              <w:rPr>
                <w:rFonts w:ascii="Microsoft YaHei" w:hAnsi="Microsoft YaHei" w:eastAsia="Microsoft YaHei"/>
                <w:b/>
                <w:sz w:val="19"/>
              </w:rPr>
              <w:t>文档编号</w:t>
            </w:r>
          </w:p>
        </w:tc>
        <w:tc>
          <w:tcPr>
            <w:tcW w:type="dxa" w:w="4986"/>
            <w:vAlign w:val="center"/>
          </w:tcPr>
          <w:p>
            <w:r>
              <w:rPr>
                <w:rFonts w:ascii="Microsoft YaHei" w:hAnsi="Microsoft YaHei" w:eastAsia="Microsoft YaHei"/>
                <w:sz w:val="19"/>
              </w:rPr>
              <w:t>FIN-POL-003</w:t>
            </w:r>
          </w:p>
        </w:tc>
      </w:tr>
      <w:tr>
        <w:tc>
          <w:tcPr>
            <w:tcW w:type="dxa" w:w="4986"/>
            <w:shd w:fill="EDEDED"/>
            <w:vAlign w:val="center"/>
          </w:tcPr>
          <w:p>
            <w:r>
              <w:rPr>
                <w:rFonts w:ascii="Microsoft YaHei" w:hAnsi="Microsoft YaHei" w:eastAsia="Microsoft YaHei"/>
                <w:b/>
                <w:sz w:val="19"/>
              </w:rPr>
              <w:t>所属部门</w:t>
            </w:r>
          </w:p>
        </w:tc>
        <w:tc>
          <w:tcPr>
            <w:tcW w:type="dxa" w:w="4986"/>
            <w:vAlign w:val="center"/>
          </w:tcPr>
          <w:p>
            <w:r>
              <w:rPr>
                <w:rFonts w:ascii="Microsoft YaHei" w:hAnsi="Microsoft YaHei" w:eastAsia="Microsoft YaHei"/>
                <w:sz w:val="19"/>
              </w:rPr>
              <w:t>财务部</w:t>
            </w:r>
          </w:p>
        </w:tc>
      </w:tr>
      <w:tr>
        <w:tc>
          <w:tcPr>
            <w:tcW w:type="dxa" w:w="4986"/>
            <w:shd w:fill="EDEDED"/>
            <w:vAlign w:val="center"/>
          </w:tcPr>
          <w:p>
            <w:r>
              <w:rPr>
                <w:rFonts w:ascii="Microsoft YaHei" w:hAnsi="Microsoft YaHei" w:eastAsia="Microsoft YaHei"/>
                <w:b/>
                <w:sz w:val="19"/>
              </w:rPr>
              <w:t>版本号</w:t>
            </w:r>
          </w:p>
        </w:tc>
        <w:tc>
          <w:tcPr>
            <w:tcW w:type="dxa" w:w="4986"/>
            <w:vAlign w:val="center"/>
          </w:tcPr>
          <w:p>
            <w:r>
              <w:rPr>
                <w:rFonts w:ascii="Microsoft YaHei" w:hAnsi="Microsoft YaHei" w:eastAsia="Microsoft YaHei"/>
                <w:sz w:val="19"/>
              </w:rPr>
              <w:t>V2.1</w:t>
            </w:r>
          </w:p>
        </w:tc>
      </w:tr>
      <w:tr>
        <w:tc>
          <w:tcPr>
            <w:tcW w:type="dxa" w:w="4986"/>
            <w:shd w:fill="EDEDED"/>
            <w:vAlign w:val="center"/>
          </w:tcPr>
          <w:p>
            <w:r>
              <w:rPr>
                <w:rFonts w:ascii="Microsoft YaHei" w:hAnsi="Microsoft YaHei" w:eastAsia="Microsoft YaHei"/>
                <w:b/>
                <w:sz w:val="19"/>
              </w:rPr>
              <w:t>状态</w:t>
            </w:r>
          </w:p>
        </w:tc>
        <w:tc>
          <w:tcPr>
            <w:tcW w:type="dxa" w:w="4986"/>
            <w:vAlign w:val="center"/>
          </w:tcPr>
          <w:p>
            <w:r>
              <w:rPr>
                <w:rFonts w:ascii="Microsoft YaHei" w:hAnsi="Microsoft YaHei" w:eastAsia="Microsoft YaHei"/>
                <w:sz w:val="19"/>
              </w:rPr>
              <w:t>当前生效</w:t>
            </w:r>
          </w:p>
        </w:tc>
      </w:tr>
      <w:tr>
        <w:tc>
          <w:tcPr>
            <w:tcW w:type="dxa" w:w="4986"/>
            <w:shd w:fill="EDEDED"/>
            <w:vAlign w:val="center"/>
          </w:tcPr>
          <w:p>
            <w:r>
              <w:rPr>
                <w:rFonts w:ascii="Microsoft YaHei" w:hAnsi="Microsoft YaHei" w:eastAsia="Microsoft YaHei"/>
                <w:b/>
                <w:sz w:val="19"/>
              </w:rPr>
              <w:t>生效日期</w:t>
            </w:r>
          </w:p>
        </w:tc>
        <w:tc>
          <w:tcPr>
            <w:tcW w:type="dxa" w:w="4986"/>
            <w:vAlign w:val="center"/>
          </w:tcPr>
          <w:p>
            <w:r>
              <w:rPr>
                <w:rFonts w:ascii="Microsoft YaHei" w:hAnsi="Microsoft YaHei" w:eastAsia="Microsoft YaHei"/>
                <w:sz w:val="19"/>
              </w:rPr>
              <w:t>2026-05-01</w:t>
            </w:r>
          </w:p>
        </w:tc>
      </w:tr>
      <w:tr>
        <w:tc>
          <w:tcPr>
            <w:tcW w:type="dxa" w:w="4986"/>
            <w:shd w:fill="EDEDED"/>
            <w:vAlign w:val="center"/>
          </w:tcPr>
          <w:p>
            <w:r>
              <w:rPr>
                <w:rFonts w:ascii="Microsoft YaHei" w:hAnsi="Microsoft YaHei" w:eastAsia="Microsoft YaHei"/>
                <w:b/>
                <w:sz w:val="19"/>
              </w:rPr>
              <w:t>失效日期</w:t>
            </w:r>
          </w:p>
        </w:tc>
        <w:tc>
          <w:tcPr>
            <w:tcW w:type="dxa" w:w="4986"/>
            <w:vAlign w:val="center"/>
          </w:tcPr>
          <w:p>
            <w:r>
              <w:rPr>
                <w:rFonts w:ascii="Microsoft YaHei" w:hAnsi="Microsoft YaHei" w:eastAsia="Microsoft YaHei"/>
                <w:sz w:val="19"/>
              </w:rPr>
              <w:t>—</w:t>
            </w:r>
          </w:p>
        </w:tc>
      </w:tr>
      <w:tr>
        <w:tc>
          <w:tcPr>
            <w:tcW w:type="dxa" w:w="4986"/>
            <w:shd w:fill="EDEDED"/>
            <w:vAlign w:val="center"/>
          </w:tcPr>
          <w:p>
            <w:r>
              <w:rPr>
                <w:rFonts w:ascii="Microsoft YaHei" w:hAnsi="Microsoft YaHei" w:eastAsia="Microsoft YaHei"/>
                <w:b/>
                <w:sz w:val="19"/>
              </w:rPr>
              <w:t>知识负责人</w:t>
            </w:r>
          </w:p>
        </w:tc>
        <w:tc>
          <w:tcPr>
            <w:tcW w:type="dxa" w:w="4986"/>
            <w:vAlign w:val="center"/>
          </w:tcPr>
          <w:p>
            <w:r>
              <w:rPr>
                <w:rFonts w:ascii="Microsoft YaHei" w:hAnsi="Microsoft YaHei" w:eastAsia="Microsoft YaHei"/>
                <w:sz w:val="19"/>
              </w:rPr>
              <w:t>郑宁·财务BP</w:t>
            </w:r>
          </w:p>
        </w:tc>
      </w:tr>
      <w:tr>
        <w:tc>
          <w:tcPr>
            <w:tcW w:type="dxa" w:w="4986"/>
            <w:shd w:fill="EDEDED"/>
            <w:vAlign w:val="center"/>
          </w:tcPr>
          <w:p>
            <w:r>
              <w:rPr>
                <w:rFonts w:ascii="Microsoft YaHei" w:hAnsi="Microsoft YaHei" w:eastAsia="Microsoft YaHei"/>
                <w:b/>
                <w:sz w:val="19"/>
              </w:rPr>
              <w:t>保密级别</w:t>
            </w:r>
          </w:p>
        </w:tc>
        <w:tc>
          <w:tcPr>
            <w:tcW w:type="dxa" w:w="4986"/>
            <w:vAlign w:val="center"/>
          </w:tcPr>
          <w:p>
            <w:r>
              <w:rPr>
                <w:rFonts w:ascii="Microsoft YaHei" w:hAnsi="Microsoft YaHei" w:eastAsia="Microsoft YaHei"/>
                <w:sz w:val="19"/>
              </w:rPr>
              <w:t>内部公开</w:t>
            </w:r>
          </w:p>
        </w:tc>
      </w:tr>
    </w:tbl>
    <w:p/>
    <w:p>
      <w:pPr>
        <w:pStyle w:val="Heading1"/>
      </w:pPr>
      <w:r>
        <w:t>一、适用范围</w:t>
      </w:r>
    </w:p>
    <w:p>
      <w:r>
        <w:t>适用于公司正式员工及经部门负责人批准的长期实习生因公发生的国内差旅。</w:t>
      </w:r>
    </w:p>
    <w:p>
      <w:pPr>
        <w:pStyle w:val="Heading1"/>
      </w:pPr>
      <w:r>
        <w:t>二、住宿标准</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EDEDED"/>
          </w:tcPr>
          <w:p>
            <w:r>
              <w:rPr>
                <w:rFonts w:ascii="Microsoft YaHei" w:hAnsi="Microsoft YaHei" w:eastAsia="Microsoft YaHei"/>
                <w:b/>
                <w:sz w:val="18"/>
              </w:rPr>
              <w:t>城市级别</w:t>
            </w:r>
          </w:p>
        </w:tc>
        <w:tc>
          <w:tcPr>
            <w:tcW w:type="dxa" w:w="3324"/>
            <w:shd w:fill="EDEDED"/>
          </w:tcPr>
          <w:p>
            <w:r>
              <w:rPr>
                <w:rFonts w:ascii="Microsoft YaHei" w:hAnsi="Microsoft YaHei" w:eastAsia="Microsoft YaHei"/>
                <w:b/>
                <w:sz w:val="18"/>
              </w:rPr>
              <w:t>住宿上限（元/间夜）</w:t>
            </w:r>
          </w:p>
        </w:tc>
        <w:tc>
          <w:tcPr>
            <w:tcW w:type="dxa" w:w="3324"/>
            <w:shd w:fill="EDEDED"/>
          </w:tcPr>
          <w:p>
            <w:r>
              <w:rPr>
                <w:rFonts w:ascii="Microsoft YaHei" w:hAnsi="Microsoft YaHei" w:eastAsia="Microsoft YaHei"/>
                <w:b/>
                <w:sz w:val="18"/>
              </w:rPr>
              <w:t>说明</w:t>
            </w:r>
          </w:p>
        </w:tc>
      </w:tr>
      <w:tr>
        <w:tc>
          <w:tcPr>
            <w:tcW w:type="dxa" w:w="3324"/>
          </w:tcPr>
          <w:p>
            <w:r>
              <w:rPr>
                <w:rFonts w:ascii="Microsoft YaHei" w:hAnsi="Microsoft YaHei" w:eastAsia="Microsoft YaHei"/>
                <w:sz w:val="18"/>
              </w:rPr>
              <w:t>一线城市（北京、上海、广州、深圳）</w:t>
            </w:r>
          </w:p>
        </w:tc>
        <w:tc>
          <w:tcPr>
            <w:tcW w:type="dxa" w:w="3324"/>
          </w:tcPr>
          <w:p>
            <w:r>
              <w:rPr>
                <w:rFonts w:ascii="Microsoft YaHei" w:hAnsi="Microsoft YaHei" w:eastAsia="Microsoft YaHei"/>
                <w:sz w:val="18"/>
              </w:rPr>
              <w:t>600</w:t>
            </w:r>
          </w:p>
        </w:tc>
        <w:tc>
          <w:tcPr>
            <w:tcW w:type="dxa" w:w="3324"/>
          </w:tcPr>
          <w:p>
            <w:r>
              <w:rPr>
                <w:rFonts w:ascii="Microsoft YaHei" w:hAnsi="Microsoft YaHei" w:eastAsia="Microsoft YaHei"/>
                <w:sz w:val="18"/>
              </w:rPr>
              <w:t>旺季原则上仍按上限执行，特殊超标需事前审批</w:t>
            </w:r>
          </w:p>
        </w:tc>
      </w:tr>
      <w:tr>
        <w:tc>
          <w:tcPr>
            <w:tcW w:type="dxa" w:w="3324"/>
          </w:tcPr>
          <w:p>
            <w:r>
              <w:rPr>
                <w:rFonts w:ascii="Microsoft YaHei" w:hAnsi="Microsoft YaHei" w:eastAsia="Microsoft YaHei"/>
                <w:sz w:val="18"/>
              </w:rPr>
              <w:t>新一线及省会城市</w:t>
            </w:r>
          </w:p>
        </w:tc>
        <w:tc>
          <w:tcPr>
            <w:tcW w:type="dxa" w:w="3324"/>
          </w:tcPr>
          <w:p>
            <w:r>
              <w:rPr>
                <w:rFonts w:ascii="Microsoft YaHei" w:hAnsi="Microsoft YaHei" w:eastAsia="Microsoft YaHei"/>
                <w:sz w:val="18"/>
              </w:rPr>
              <w:t>450</w:t>
            </w:r>
          </w:p>
        </w:tc>
        <w:tc>
          <w:tcPr>
            <w:tcW w:type="dxa" w:w="3324"/>
          </w:tcPr>
          <w:p>
            <w:r>
              <w:rPr>
                <w:rFonts w:ascii="Microsoft YaHei" w:hAnsi="Microsoft YaHei" w:eastAsia="Microsoft YaHei"/>
                <w:sz w:val="18"/>
              </w:rPr>
              <w:t>含税价</w:t>
            </w:r>
          </w:p>
        </w:tc>
      </w:tr>
      <w:tr>
        <w:tc>
          <w:tcPr>
            <w:tcW w:type="dxa" w:w="3324"/>
          </w:tcPr>
          <w:p>
            <w:r>
              <w:rPr>
                <w:rFonts w:ascii="Microsoft YaHei" w:hAnsi="Microsoft YaHei" w:eastAsia="Microsoft YaHei"/>
                <w:sz w:val="18"/>
              </w:rPr>
              <w:t>其他城市</w:t>
            </w:r>
          </w:p>
        </w:tc>
        <w:tc>
          <w:tcPr>
            <w:tcW w:type="dxa" w:w="3324"/>
          </w:tcPr>
          <w:p>
            <w:r>
              <w:rPr>
                <w:rFonts w:ascii="Microsoft YaHei" w:hAnsi="Microsoft YaHei" w:eastAsia="Microsoft YaHei"/>
                <w:sz w:val="18"/>
              </w:rPr>
              <w:t>350</w:t>
            </w:r>
          </w:p>
        </w:tc>
        <w:tc>
          <w:tcPr>
            <w:tcW w:type="dxa" w:w="3324"/>
          </w:tcPr>
          <w:p>
            <w:r>
              <w:rPr>
                <w:rFonts w:ascii="Microsoft YaHei" w:hAnsi="Microsoft YaHei" w:eastAsia="Microsoft YaHei"/>
                <w:sz w:val="18"/>
              </w:rPr>
              <w:t>含税价</w:t>
            </w:r>
          </w:p>
        </w:tc>
      </w:tr>
    </w:tbl>
    <w:p/>
    <w:p>
      <w:pPr>
        <w:pStyle w:val="Heading1"/>
      </w:pPr>
      <w:r>
        <w:t>三、交通标准</w:t>
      </w:r>
    </w:p>
    <w:p>
      <w:pPr>
        <w:pStyle w:val="ListBullet"/>
      </w:pPr>
      <w:r>
        <w:t>高铁/动车：二等座。</w:t>
      </w:r>
    </w:p>
    <w:p>
      <w:pPr>
        <w:pStyle w:val="ListBullet"/>
      </w:pPr>
      <w:r>
        <w:t>单程高铁预计乘车时间超过5小时，可选择经济舱；否则选择高铁/动车。</w:t>
      </w:r>
    </w:p>
    <w:p>
      <w:pPr>
        <w:pStyle w:val="ListBullet"/>
      </w:pPr>
      <w:r>
        <w:t>市内交通优先使用公司合作打车平台；无法使用时可凭合规票据报销。</w:t>
      </w:r>
    </w:p>
    <w:p>
      <w:pPr>
        <w:pStyle w:val="Heading1"/>
      </w:pPr>
      <w:r>
        <w:t>四、餐补标准</w:t>
      </w:r>
    </w:p>
    <w:p>
      <w:pPr>
        <w:pStyle w:val="ListBullet"/>
      </w:pPr>
      <w:r>
        <w:t>出差自然日按80元/天计算餐补。</w:t>
      </w:r>
    </w:p>
    <w:p>
      <w:pPr>
        <w:pStyle w:val="ListBullet"/>
      </w:pPr>
      <w:r>
        <w:t>由客户、会议主办方或公司统一提供全天餐食的，当日不再享受餐补。</w:t>
      </w:r>
    </w:p>
    <w:p>
      <w:pPr>
        <w:pStyle w:val="ListBullet"/>
      </w:pPr>
      <w:r>
        <w:t>出发日或返回日不足8小时，按40元计。</w:t>
      </w:r>
    </w:p>
    <w:p>
      <w:pPr>
        <w:pStyle w:val="Heading1"/>
      </w:pPr>
      <w:r>
        <w:t>五、报销时限与超标</w:t>
      </w:r>
    </w:p>
    <w:p>
      <w:r>
        <w:t>出差结束后15个自然日内提交报销。住宿超标须在预订前获得部门负责人和财务BP书面审批，否则超出部分原则上由个人承担。</w:t>
      </w:r>
    </w:p>
    <w:p>
      <w:pPr>
        <w:pStyle w:val="Heading1"/>
      </w:pPr>
      <w:r>
        <w:t>六、版本说明</w:t>
      </w:r>
    </w:p>
    <w:p>
      <w:r>
        <w:t>本版本自2026年5月1日起生效，并替代V2.0。</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