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color w:val="5A5A5A"/>
          <w:sz w:val="22"/>
        </w:rPr>
        <w:t>星瀚科技有限公司</w:t>
      </w:r>
    </w:p>
    <w:p>
      <w:pPr>
        <w:jc w:val="center"/>
      </w:pPr>
      <w:r>
        <w:rPr>
          <w:rFonts w:ascii="Microsoft YaHei" w:hAnsi="Microsoft YaHei" w:eastAsia="Microsoft YaHei"/>
          <w:b/>
          <w:sz w:val="40"/>
        </w:rPr>
        <w:t>差旅住宿标准补充说明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文档编号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FIN-NOTICE-017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所属部门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行政管理部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版本号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V1.0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状态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当前生效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生效日期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2026-05-10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失效日期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知识负责人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唐玥·行政专员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保密级别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内部公开</w:t>
            </w:r>
          </w:p>
        </w:tc>
      </w:tr>
    </w:tbl>
    <w:p/>
    <w:p>
      <w:pPr>
        <w:pStyle w:val="Heading1"/>
      </w:pPr>
      <w:r>
        <w:t>一、背景</w:t>
      </w:r>
    </w:p>
    <w:p>
      <w:r>
        <w:t>为控制二季度行政费用，行政管理部对常规差旅住宿预订标准作补充说明。</w:t>
      </w:r>
    </w:p>
    <w:p>
      <w:pPr>
        <w:pStyle w:val="Heading1"/>
      </w:pPr>
      <w:r>
        <w:t>二、住宿建议标准</w:t>
      </w:r>
    </w:p>
    <w:p>
      <w:pPr>
        <w:pStyle w:val="ListBullet"/>
      </w:pPr>
      <w:r>
        <w:t>北京、上海、广州、深圳的常规住宿建议上限为500元/间夜。</w:t>
      </w:r>
    </w:p>
    <w:p>
      <w:pPr>
        <w:pStyle w:val="ListBullet"/>
      </w:pPr>
      <w:r>
        <w:t>新一线及省会城市建议上限为420元/间夜。</w:t>
      </w:r>
    </w:p>
    <w:p>
      <w:pPr>
        <w:pStyle w:val="ListBullet"/>
      </w:pPr>
      <w:r>
        <w:t>其他城市建议上限为320元/间夜。</w:t>
      </w:r>
    </w:p>
    <w:p>
      <w:pPr>
        <w:pStyle w:val="Heading1"/>
      </w:pPr>
      <w:r>
        <w:t>三、执行说明</w:t>
      </w:r>
    </w:p>
    <w:p>
      <w:r>
        <w:t>本说明自发布之日起执行，未明确事项按公司现行差旅制度办理。</w:t>
      </w:r>
    </w:p>
    <w:p>
      <w:pPr>
        <w:pStyle w:val="Heading1"/>
      </w:pPr>
      <w:r>
        <w:t>四、知识治理备注</w:t>
      </w:r>
    </w:p>
    <w:p>
      <w:r>
        <w:t>本文件由行政管理部发布，与财务部《差旅管理制度 V2.1》关于一线城市住宿上限的口径存在不一致。该冲突用于知识库测试，系统不应自行合并为单一规则。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