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年度预算调整审批办法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FIN-CONF-009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财务部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2026-01-01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蒋峰·财务总监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受限-仅财务管理层及部门负责人</w:t>
            </w:r>
          </w:p>
        </w:tc>
      </w:tr>
    </w:tbl>
    <w:p/>
    <w:p>
      <w:pPr>
        <w:pStyle w:val="Heading1"/>
      </w:pPr>
      <w:r>
        <w:t>一、适用范围</w:t>
      </w:r>
    </w:p>
    <w:p>
      <w:r>
        <w:t>适用于年度预算已经审批后，部门申请新增预算、预算跨科目调整或预算提前占用的情况。</w:t>
      </w:r>
    </w:p>
    <w:p>
      <w:pPr>
        <w:pStyle w:val="Heading1"/>
      </w:pPr>
      <w:r>
        <w:t>二、审批权限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调整金额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审批链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≤ 20,000元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部门负责人 + 财务BP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20,001—100,000元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部门负责人 + 财务BP + 财务总监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&gt; 100,000元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部门负责人 + 财务总监 + CEO</w:t>
            </w:r>
          </w:p>
        </w:tc>
      </w:tr>
    </w:tbl>
    <w:p/>
    <w:p>
      <w:pPr>
        <w:pStyle w:val="Heading1"/>
      </w:pPr>
      <w:r>
        <w:t>三、限制条件</w:t>
      </w:r>
    </w:p>
    <w:p>
      <w:pPr>
        <w:pStyle w:val="ListBullet"/>
      </w:pPr>
      <w:r>
        <w:t>市场推广费向固定资产预算调剂，需额外进行资产采购必要性说明。</w:t>
      </w:r>
    </w:p>
    <w:p>
      <w:pPr>
        <w:pStyle w:val="ListBullet"/>
      </w:pPr>
      <w:r>
        <w:t>已发生但未事前审批的超预算费用，不得通过事后预算调整自动合法化。</w:t>
      </w:r>
    </w:p>
    <w:p>
      <w:pPr>
        <w:pStyle w:val="ListBullet"/>
      </w:pPr>
      <w:r>
        <w:t>预算调整申请中必须说明金额、原因、影响期间与对应业务目标。</w:t>
      </w:r>
    </w:p>
    <w:p>
      <w:pPr>
        <w:pStyle w:val="Heading1"/>
      </w:pPr>
      <w:r>
        <w:t>四、安全要求</w:t>
      </w:r>
    </w:p>
    <w:p>
      <w:r>
        <w:t>本文件属于受限知识。普通员工不得查看文档名称、审批阈值、正文片段或摘要；如有业务需要，应通过预算系统发起申请，由部门负责人协助处理。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