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信息安全与账号使用规范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IT-SEC-002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信息技术部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V2.3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2026-06-20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陆骁·信息安全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一、账号安全</w:t>
      </w:r>
    </w:p>
    <w:p>
      <w:pPr>
        <w:pStyle w:val="ListBullet"/>
      </w:pPr>
      <w:r>
        <w:t>企业账号必须启用多因素认证。</w:t>
      </w:r>
    </w:p>
    <w:p>
      <w:pPr>
        <w:pStyle w:val="ListBullet"/>
      </w:pPr>
      <w:r>
        <w:t>不得将账号密码共享给同事、供应商或外包人员。</w:t>
      </w:r>
    </w:p>
    <w:p>
      <w:pPr>
        <w:pStyle w:val="ListBullet"/>
      </w:pPr>
      <w:r>
        <w:t>禁止在未获批准的第三方AI工具中上传公司受限文档、客户数据或源代码。</w:t>
      </w:r>
    </w:p>
    <w:p>
      <w:pPr>
        <w:pStyle w:val="Heading1"/>
      </w:pPr>
      <w:r>
        <w:t>二、设备与网络</w:t>
      </w:r>
    </w:p>
    <w:p>
      <w:pPr>
        <w:pStyle w:val="ListBullet"/>
      </w:pPr>
      <w:r>
        <w:t>公司终端应安装指定安全软件，不得擅自关闭。</w:t>
      </w:r>
    </w:p>
    <w:p>
      <w:pPr>
        <w:pStyle w:val="ListBullet"/>
      </w:pPr>
      <w:r>
        <w:t>在公共网络访问内部系统时必须使用公司VPN。</w:t>
      </w:r>
    </w:p>
    <w:p>
      <w:pPr>
        <w:pStyle w:val="ListBullet"/>
      </w:pPr>
      <w:r>
        <w:t>发现设备丢失应在30分钟内向IT服务台报告。</w:t>
      </w:r>
    </w:p>
    <w:p>
      <w:pPr>
        <w:pStyle w:val="Heading1"/>
      </w:pPr>
      <w:r>
        <w:t>三、AI工具使用</w:t>
      </w:r>
    </w:p>
    <w:p>
      <w:pPr>
        <w:pStyle w:val="ListBullet"/>
      </w:pPr>
      <w:r>
        <w:t>内部公开级资料可在公司批准的AI工具中使用。</w:t>
      </w:r>
    </w:p>
    <w:p>
      <w:pPr>
        <w:pStyle w:val="ListBullet"/>
      </w:pPr>
      <w:r>
        <w:t>受限、机密资料仅可进入已通过安全评审的内部AI系统。</w:t>
      </w:r>
    </w:p>
    <w:p>
      <w:pPr>
        <w:pStyle w:val="ListBullet"/>
      </w:pPr>
      <w:r>
        <w:t>使用AI生成对外材料时，业务负责人须对事实与合规负责。</w:t>
      </w:r>
    </w:p>
    <w:p>
      <w:pPr>
        <w:pStyle w:val="Heading1"/>
      </w:pPr>
      <w:r>
        <w:t>四、安全事件</w:t>
      </w:r>
    </w:p>
    <w:p>
      <w:r>
        <w:t>发现钓鱼邮件、疑似泄露、异常登录或恶意软件时，立即停止相关操作并联系信息安全值班人员。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