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基于多元回归模型的中国城市化进程影响因素研究</w:t>
      </w:r>
    </w:p>
    <w:p>
      <w:r>
        <w:t>摘要：本文通过构建多元回归模型，从经济发展水平、产业结构、人口流动三个维度分析了中国城市化进程的主要影响因素。研究发现GDP增长率、第三产业占比和流动人口规模是推动城市化的核心动力。本研究使用2000-2020年全国31个省份的面板数据(Panel Data)进行实证分析。</w:t>
      </w:r>
    </w:p>
    <w:p>
      <w:r>
        <w:t>关键词：城市化 多元回归 面板数据 影响因素 产业结构</w:t>
      </w:r>
    </w:p>
    <w:p>
      <w:r>
        <w:t>1 引言</w:t>
      </w:r>
    </w:p>
    <w:p>
      <w:r>
        <w:t>中国的城市化进程是21世纪全球最为重要的社会经济现象之一。根据National Bureau of Statistics的数据，2020年中国城镇化率达到63.89%，较2000年的36.22%增长了近28个百分点。理解这一进程背后的驱动因素，对于制定科学的城市发展政策具有重要的理论和实践意义。</w:t>
      </w:r>
    </w:p>
    <w:p>
      <w:r>
        <w:t>已有研究表明，经济增长是城市化的根本动力(Henderson, 2003)。此外，Lewis(1954)提出的二元经济理论指出，劳动力从农业部门向工业部门的转移是城市化的重要机制。</w:t>
      </w:r>
    </w:p>
    <w:p>
      <w:r>
        <w:t>2 研究设计</w:t>
      </w:r>
    </w:p>
    <w:p>
      <w:r>
        <w:t>2.1 模型构建</w:t>
      </w:r>
    </w:p>
    <w:p>
      <w:r>
        <w:t>本文采用面板数据固定效应模型(Fixed Effects Model)进行估计。基本模型设定如下：URBit = α + β1GDPit + β2INDit + β3POPit + εit，其中URB表示城镇化率，GDP表示人均国内生产总值的对数，IND表示第三产业增加值占GDP的比重，POP表示流动人口占总人口的比例。</w:t>
      </w:r>
    </w:p>
    <w:p>
      <w:r>
        <w:t>2.2 数据来源与描述</w:t>
      </w:r>
    </w:p>
    <w:p>
      <w:r>
        <w:t>本研究使用的数据来源于《中国统计年鉴》和各省统计年鉴。样本包括2000-2020年中国31个省、自治区和直辖市的面板数据，共计651个观测值。所有经济指标均以2000年为基期进行价格平减处理。</w:t>
      </w:r>
    </w:p>
    <w:p>
      <w:r>
        <w:t>表 1 变量定义与描述性统计</w:t>
      </w:r>
    </w:p>
    <w:p>
      <w:r>
        <w:t>（此处为表格内容占位）</w:t>
      </w:r>
    </w:p>
    <w:p>
      <w:r>
        <w:t>3 模型的估计与检验</w:t>
      </w:r>
    </w:p>
    <w:p>
      <w:r>
        <w:t>3.1 基准回归结果</w:t>
      </w:r>
    </w:p>
    <w:p>
      <w:r>
        <w:t>表2报告了固定效应模型的估计结果。在控制了时间固定效应后，三个核心解释变量均在1%的显著性水平下通过了t检验。具体而言，人均GDP每增长1%，城镇化率平均上升0.15个百分点。</w:t>
      </w:r>
    </w:p>
    <w:p>
      <w:r>
        <w:t>表 2 基准回归结果</w:t>
      </w:r>
    </w:p>
    <w:p>
      <w:r>
        <w:t>（此处为表格内容占位）</w:t>
      </w:r>
    </w:p>
    <w:p>
      <w:r>
        <w:t>3.2 稳健性检验</w:t>
      </w:r>
    </w:p>
    <w:p>
      <w:r>
        <w:t>为验证基准回归结果的稳健性，本文采用了以下策略：替换核心解释变量的度量方式、缩小样本范围（剔除直辖市）、使用工具变量法(IV)解决可能的内生性问题。结果表明核心结论保持不变。</w:t>
      </w:r>
    </w:p>
    <w:p>
      <w:r>
        <w:t>图 1 城镇化率与人均GDP散点图</w:t>
      </w:r>
    </w:p>
    <w:p>
      <w:r>
        <w:t>（此处为图片占位）</w:t>
      </w:r>
    </w:p>
    <w:p>
      <w:r>
        <w:t>4 结论与政策建议</w:t>
      </w:r>
    </w:p>
    <w:p>
      <w:r>
        <w:t>综合以上分析，本文得出以下主要结论：第一，经济发展水平是推动城市化的根本动力；第二，产业结构升级对城市化具有显著的正向促进作用；第三，人口流动是城市化的重要微观机制。基于上述发现，本文提出如下政策建议：持续推动经济高质量发展、加快产业结构优化升级、完善流动人口公共服务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