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基于多元回归模型的中国城市化进程影响因素研究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摘要：</w:t>
      </w:r>
      <w:r>
        <w:rPr>
          <w:rFonts w:ascii="Times New Roman" w:hAnsi="Times New Roman" w:eastAsia="宋体" w:cs="Times New Roman"/>
          <w:b w:val="0"/>
          <w:sz w:val="24"/>
        </w:rPr>
        <w:t>本文通过构建多元回归模型，从经济发展水平、产业结构、人口流动三个维度分析了中国城市化进程的主要影响因素。研究发现GDP增长率、第三产业占比和流动人口规模是推动城市化的核心动力。本研究使用2000-2020年全国31个省份的面板数据(Panel Data)进行实证分析。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关键词：</w:t>
      </w:r>
      <w:r>
        <w:rPr>
          <w:rFonts w:ascii="Times New Roman" w:hAnsi="Times New Roman" w:eastAsia="宋体" w:cs="Times New Roman"/>
          <w:b w:val="0"/>
          <w:sz w:val="24"/>
        </w:rPr>
        <w:t>城市化 多元回归 面板数据 影响因素 产业结构</w:t>
      </w:r>
    </w:p>
    <w:p>
      <w:pPr>
        <w:spacing w:before="320" w:after="3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sz w:val="32"/>
        </w:rPr>
        <w:t>1 引言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中国的城市化进程是21世纪全球最为重要的社会经济现象之一。根据National Bureau of Statistics的数据，2020年中国城镇化率达到63.89%，较2000年的36.22%增长了近28个百分点。理解这一进程背后的驱动因素，对于制定科学的城市发展政策具有重要的理论和实践意义。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已有研究表明，经济增长是城市化的根本动力(Henderson, 2003)。此外，Lewis(1954)提出的二元经济理论指出，劳动力从农业部门向工业部门的转移是城市化的重要机制。</w:t>
      </w:r>
    </w:p>
    <w:p>
      <w:pPr>
        <w:spacing w:before="320" w:after="3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sz w:val="32"/>
        </w:rPr>
        <w:t>2 研究设计</w:t>
      </w:r>
    </w:p>
    <w:p>
      <w:pPr>
        <w:spacing w:before="140" w:after="14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2.1 模型构建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本文采用面板数据固定效应模型(Fixed Effects Model)进行估计。基本模型设定如下：URBit = α + β1GDPit + β2INDit + β3POPit + εit，其中URB表示城镇化率，GDP表示人均国内生产总值的对数，IND表示第三产业增加值占GDP的比重，POP表示流动人口占总人口的比例。</w:t>
      </w:r>
    </w:p>
    <w:p>
      <w:pPr>
        <w:spacing w:before="140" w:after="14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2.2 数据来源与描述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本研究使用的数据来源于《中国统计年鉴》和各省统计年鉴。样本包括2000-2020年中国31个省、自治区和直辖市的面板数据，共计651个观测值。所有经济指标均以2000年为基期进行价格平减处理。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 w:cs="Times New Roman"/>
          <w:b w:val="0"/>
          <w:sz w:val="21"/>
        </w:rPr>
        <w:t>表 1 变量定义与描述性统计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（此处为表格内容占位）</w:t>
      </w:r>
    </w:p>
    <w:p>
      <w:pPr>
        <w:spacing w:before="320" w:after="3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sz w:val="32"/>
        </w:rPr>
        <w:t>3 模型的估计与检验</w:t>
      </w:r>
    </w:p>
    <w:p>
      <w:pPr>
        <w:spacing w:before="140" w:after="14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3.1 基准回归结果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表2报告了固定效应模型的估计结果。在控制了时间固定效应后，三个核心解释变量均在1%的显著性水平下通过了t检验。具体而言，人均GDP每增长1%，城镇化率平均上升0.15个百分点。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 w:cs="Times New Roman"/>
          <w:b w:val="0"/>
          <w:sz w:val="21"/>
        </w:rPr>
        <w:t>表 2 基准回归结果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（此处为表格内容占位）</w:t>
      </w:r>
    </w:p>
    <w:p>
      <w:pPr>
        <w:spacing w:before="140" w:after="14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3.2 稳健性检验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为验证基准回归结果的稳健性，本文采用了以下策略：替换核心解释变量的度量方式、缩小样本范围（剔除直辖市）、使用工具变量法(IV)解决可能的内生性问题。结果表明核心结论保持不变。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 w:cs="Times New Roman"/>
          <w:b w:val="0"/>
          <w:sz w:val="21"/>
        </w:rPr>
        <w:t>图 1 城镇化率与人均GDP散点图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（此处为图片占位）</w:t>
      </w:r>
    </w:p>
    <w:p>
      <w:pPr>
        <w:spacing w:before="320" w:after="3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sz w:val="32"/>
        </w:rPr>
        <w:t>4 结论与政策建议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综合以上分析，本文得出以下主要结论：第一，经济发展水平是推动城市化的根本动力；第二，产业结构升级对城市化具有显著的正向促进作用；第三，人口流动是城市化的重要微观机制。基于上述发现，本文提出如下政策建议：持续推动经济高质量发展、加快产业结构优化升级、完善流动人口公共服务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