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Pr>
      <w:r>
        <w:rPr>
          <w:rFonts w:ascii="Malgun Gothic" w:hAnsi="Malgun Gothic" w:eastAsia="Malgun Gothic"/>
          <w:b/>
          <w:sz w:val="44"/>
        </w:rPr>
        <w:t>텀블러 4종 형태 분류 프로젝트 전개 및 결과</w:t>
      </w:r>
    </w:p>
    <w:p>
      <w:pPr>
        <w:spacing w:after="140" w:line="312" w:lineRule="auto"/>
        <w:jc w:val="center"/>
      </w:pPr>
      <w:r>
        <w:rPr>
          <w:rFonts w:ascii="Malgun Gothic" w:hAnsi="Malgun Gothic" w:eastAsia="Malgun Gothic"/>
          <w:b w:val="0"/>
          <w:sz w:val="22"/>
        </w:rPr>
        <w:t>Vision Transformer 기반 텀블러 몸통 형태 분류 프로젝트 요약</w:t>
      </w:r>
    </w:p>
    <w:p>
      <w:pPr>
        <w:spacing w:after="140" w:line="312" w:lineRule="auto"/>
      </w:pPr>
      <w:r>
        <w:rPr>
          <w:rFonts w:ascii="Malgun Gothic" w:hAnsi="Malgun Gothic" w:eastAsia="Malgun Gothic"/>
          <w:b/>
          <w:sz w:val="22"/>
        </w:rPr>
        <w:t>핵심 결과: 웹 검증과 실제 촬영을 결합한 비학습 215장 평가에서 Macro F1 0.8784를 달성했다.</w:t>
      </w:r>
    </w:p>
    <w:p>
      <w:pPr>
        <w:pStyle w:val="Heading1"/>
        <w:spacing w:before="320" w:after="140"/>
      </w:pPr>
      <w:r>
        <w:rPr>
          <w:rFonts w:ascii="Malgun Gothic" w:hAnsi="Malgun Gothic" w:eastAsia="Malgun Gothic"/>
          <w:b/>
          <w:sz w:val="30"/>
        </w:rPr>
        <w:t>1. 프로젝트 개요</w:t>
      </w:r>
    </w:p>
    <w:p>
      <w:pPr>
        <w:spacing w:after="140" w:line="312" w:lineRule="auto"/>
      </w:pPr>
      <w:r>
        <w:rPr>
          <w:rFonts w:ascii="Malgun Gothic" w:hAnsi="Malgun Gothic" w:eastAsia="Malgun Gothic"/>
          <w:b w:val="0"/>
          <w:sz w:val="21"/>
        </w:rPr>
        <w:t>이 프로젝트는 텀블러의 색상, 로고, 손잡이 유무보다 몸통 윤곽과 비율을 읽어 형태를 분류한다. 핵심 지표는 네 클래스 성능을 동일한 비중으로 반영하는 Macro F1이다.</w:t>
      </w:r>
    </w:p>
    <w:tbl>
      <w:tblPr>
        <w:tblStyle w:val="TableGrid"/>
        <w:tblW w:type="auto" w:w="0"/>
        <w:tblLayout w:type="fixed"/>
        <w:tblLook w:firstColumn="1" w:firstRow="1" w:lastColumn="0" w:lastRow="0" w:noHBand="0" w:noVBand="1" w:val="04A0"/>
      </w:tblPr>
      <w:tblGrid>
        <w:gridCol w:w="5083"/>
        <w:gridCol w:w="5083"/>
      </w:tblGrid>
      <w:tr>
        <w:tc>
          <w:tcPr>
            <w:tcW w:type="dxa" w:w="1944"/>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Malgun Gothic" w:hAnsi="Malgun Gothic" w:eastAsia="Malgun Gothic"/>
                <w:b/>
                <w:color w:val="FFFFFF"/>
                <w:sz w:val="19"/>
              </w:rPr>
              <w:t>클래스</w:t>
            </w:r>
          </w:p>
        </w:tc>
        <w:tc>
          <w:tcPr>
            <w:tcW w:type="dxa" w:w="7920"/>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Malgun Gothic" w:hAnsi="Malgun Gothic" w:eastAsia="Malgun Gothic"/>
                <w:b/>
                <w:color w:val="FFFFFF"/>
                <w:sz w:val="19"/>
              </w:rPr>
              <w:t>판별 기준</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rFonts w:ascii="Malgun Gothic" w:hAnsi="Malgun Gothic" w:eastAsia="Malgun Gothic"/>
                <w:b w:val="0"/>
                <w:sz w:val="18"/>
              </w:rPr>
              <w:t>straight</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rFonts w:ascii="Malgun Gothic" w:hAnsi="Malgun Gothic" w:eastAsia="Malgun Gothic"/>
                <w:b w:val="0"/>
                <w:sz w:val="18"/>
              </w:rPr>
              <w:t>몸통 아래 지름이 위 지름의 95% 이상이며 윤곽이 거의 수직</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pPr>
            <w:r>
              <w:rPr>
                <w:rFonts w:ascii="Malgun Gothic" w:hAnsi="Malgun Gothic" w:eastAsia="Malgun Gothic"/>
                <w:b w:val="0"/>
                <w:sz w:val="18"/>
              </w:rPr>
              <w:t>taper_smooth</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pPr>
            <w:r>
              <w:rPr>
                <w:rFonts w:ascii="Malgun Gothic" w:hAnsi="Malgun Gothic" w:eastAsia="Malgun Gothic"/>
                <w:b w:val="0"/>
                <w:sz w:val="18"/>
              </w:rPr>
              <w:t>꺾임 없이 몸통이 점진적으로 좁아짐</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rFonts w:ascii="Malgun Gothic" w:hAnsi="Malgun Gothic" w:eastAsia="Malgun Gothic"/>
                <w:b w:val="0"/>
                <w:sz w:val="18"/>
              </w:rPr>
              <w:t>taper_step</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rFonts w:ascii="Malgun Gothic" w:hAnsi="Malgun Gothic" w:eastAsia="Malgun Gothic"/>
                <w:b w:val="0"/>
                <w:sz w:val="18"/>
              </w:rPr>
              <w:t>몸통에 뚜렷한 단차 또는 꺾임이 한 번 이상 있음</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pPr>
            <w:r>
              <w:rPr>
                <w:rFonts w:ascii="Malgun Gothic" w:hAnsi="Malgun Gothic" w:eastAsia="Malgun Gothic"/>
                <w:b w:val="0"/>
                <w:sz w:val="18"/>
              </w:rPr>
              <w:t>mug</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pPr>
            <w:r>
              <w:rPr>
                <w:rFonts w:ascii="Malgun Gothic" w:hAnsi="Malgun Gothic" w:eastAsia="Malgun Gothic"/>
                <w:b w:val="0"/>
                <w:sz w:val="18"/>
              </w:rPr>
              <w:t>손잡이와 무관하게 높이가 지름의 1.5배 이하</w:t>
            </w:r>
          </w:p>
        </w:tc>
      </w:tr>
    </w:tbl>
    <w:p>
      <w:pPr>
        <w:spacing w:after="60"/>
      </w:pPr>
    </w:p>
    <w:p>
      <w:pPr>
        <w:pStyle w:val="Heading1"/>
        <w:spacing w:before="320" w:after="140"/>
      </w:pPr>
      <w:r>
        <w:rPr>
          <w:rFonts w:ascii="Malgun Gothic" w:hAnsi="Malgun Gothic" w:eastAsia="Malgun Gothic"/>
          <w:b/>
          <w:sz w:val="30"/>
        </w:rPr>
        <w:t>2. 문제 정의와 데이터 설계</w:t>
      </w:r>
    </w:p>
    <w:p>
      <w:pPr>
        <w:spacing w:after="140" w:line="312" w:lineRule="auto"/>
      </w:pPr>
      <w:r>
        <w:rPr>
          <w:rFonts w:ascii="Malgun Gothic" w:hAnsi="Malgun Gothic" w:eastAsia="Malgun Gothic"/>
          <w:b w:val="0"/>
          <w:sz w:val="21"/>
        </w:rPr>
        <w:t>브랜드와 배경 같은 비형태 단서에 모델이 과도하게 의존하지 않도록, 외곽선, 위아래 폭 변화, 단차, 높이-너비 비율을 라벨 기준으로 고정했다. 한 이미지에 텀블러 한 개가 명확히 보이고 상단부터 바닥까지 윤곽을 읽을 수 있는 사례를 우선 채택했으며, 심한 잘림·겹침·흐림은 제외했다.</w:t>
      </w:r>
    </w:p>
    <w:p>
      <w:pPr>
        <w:spacing w:after="140" w:line="312" w:lineRule="auto"/>
      </w:pPr>
      <w:r>
        <w:rPr>
          <w:rFonts w:ascii="Malgun Gothic" w:hAnsi="Malgun Gothic" w:eastAsia="Malgun Gothic"/>
          <w:b w:val="0"/>
          <w:sz w:val="21"/>
        </w:rPr>
        <w:t>네이버 쇼핑 API 기반 수집기와 SSG 공개 검색 카드 수집기를 구현해 후보 수집, 손상 확인, 해시 기반 중복 제거, 재시도, 중단 후 재개를 지원했다. 검수 결과와 크롭 좌표를 기록해 같은 데이터셋을 재현할 수 있게 했다.</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c>
          <w:tcPr>
            <w:tcW w:type="dxa" w:w="2520"/>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Malgun Gothic" w:hAnsi="Malgun Gothic" w:eastAsia="Malgun Gothic"/>
                <w:b/>
                <w:color w:val="FFFFFF"/>
                <w:sz w:val="19"/>
              </w:rPr>
              <w:t>클래스</w:t>
            </w:r>
          </w:p>
        </w:tc>
        <w:tc>
          <w:tcPr>
            <w:tcW w:type="dxa" w:w="1296"/>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Malgun Gothic" w:hAnsi="Malgun Gothic" w:eastAsia="Malgun Gothic"/>
                <w:b/>
                <w:color w:val="FFFFFF"/>
                <w:sz w:val="19"/>
              </w:rPr>
              <w:t>전체</w:t>
            </w:r>
          </w:p>
        </w:tc>
        <w:tc>
          <w:tcPr>
            <w:tcW w:type="dxa" w:w="1296"/>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Malgun Gothic" w:hAnsi="Malgun Gothic" w:eastAsia="Malgun Gothic"/>
                <w:b/>
                <w:color w:val="FFFFFF"/>
                <w:sz w:val="19"/>
              </w:rPr>
              <w:t>학습</w:t>
            </w:r>
          </w:p>
        </w:tc>
        <w:tc>
          <w:tcPr>
            <w:tcW w:type="dxa" w:w="1440"/>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Malgun Gothic" w:hAnsi="Malgun Gothic" w:eastAsia="Malgun Gothic"/>
                <w:b/>
                <w:color w:val="FFFFFF"/>
                <w:sz w:val="19"/>
              </w:rPr>
              <w:t>웹 검증</w:t>
            </w:r>
          </w:p>
        </w:tc>
        <w:tc>
          <w:tcPr>
            <w:tcW w:type="dxa" w:w="1656"/>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Malgun Gothic" w:hAnsi="Malgun Gothic" w:eastAsia="Malgun Gothic"/>
                <w:b/>
                <w:color w:val="FFFFFF"/>
                <w:sz w:val="19"/>
              </w:rPr>
              <w:t>제품 그룹</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rFonts w:ascii="Malgun Gothic" w:hAnsi="Malgun Gothic" w:eastAsia="Malgun Gothic"/>
                <w:b w:val="0"/>
                <w:sz w:val="18"/>
              </w:rPr>
              <w:t>straight</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126</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101</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25</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77</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pPr>
            <w:r>
              <w:rPr>
                <w:rFonts w:ascii="Malgun Gothic" w:hAnsi="Malgun Gothic" w:eastAsia="Malgun Gothic"/>
                <w:b w:val="0"/>
                <w:sz w:val="18"/>
              </w:rPr>
              <w:t>taper_smooth</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jc w:val="center"/>
            </w:pPr>
            <w:r>
              <w:rPr>
                <w:rFonts w:ascii="Malgun Gothic" w:hAnsi="Malgun Gothic" w:eastAsia="Malgun Gothic"/>
                <w:b w:val="0"/>
                <w:sz w:val="18"/>
              </w:rPr>
              <w:t>99</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jc w:val="center"/>
            </w:pPr>
            <w:r>
              <w:rPr>
                <w:rFonts w:ascii="Malgun Gothic" w:hAnsi="Malgun Gothic" w:eastAsia="Malgun Gothic"/>
                <w:b w:val="0"/>
                <w:sz w:val="18"/>
              </w:rPr>
              <w:t>79</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jc w:val="center"/>
            </w:pPr>
            <w:r>
              <w:rPr>
                <w:rFonts w:ascii="Malgun Gothic" w:hAnsi="Malgun Gothic" w:eastAsia="Malgun Gothic"/>
                <w:b w:val="0"/>
                <w:sz w:val="18"/>
              </w:rPr>
              <w:t>20</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jc w:val="center"/>
            </w:pPr>
            <w:r>
              <w:rPr>
                <w:rFonts w:ascii="Malgun Gothic" w:hAnsi="Malgun Gothic" w:eastAsia="Malgun Gothic"/>
                <w:b w:val="0"/>
                <w:sz w:val="18"/>
              </w:rPr>
              <w:t>92</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rFonts w:ascii="Malgun Gothic" w:hAnsi="Malgun Gothic" w:eastAsia="Malgun Gothic"/>
                <w:b w:val="0"/>
                <w:sz w:val="18"/>
              </w:rPr>
              <w:t>taper_step</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108</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86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22</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94</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pPr>
            <w:r>
              <w:rPr>
                <w:rFonts w:ascii="Malgun Gothic" w:hAnsi="Malgun Gothic" w:eastAsia="Malgun Gothic"/>
                <w:b w:val="0"/>
                <w:sz w:val="18"/>
              </w:rPr>
              <w:t>mug</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jc w:val="center"/>
            </w:pPr>
            <w:r>
              <w:rPr>
                <w:rFonts w:ascii="Malgun Gothic" w:hAnsi="Malgun Gothic" w:eastAsia="Malgun Gothic"/>
                <w:b w:val="0"/>
                <w:sz w:val="18"/>
              </w:rPr>
              <w:t>108</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jc w:val="center"/>
            </w:pPr>
            <w:r>
              <w:rPr>
                <w:rFonts w:ascii="Malgun Gothic" w:hAnsi="Malgun Gothic" w:eastAsia="Malgun Gothic"/>
                <w:b w:val="0"/>
                <w:sz w:val="18"/>
              </w:rPr>
              <w:t>86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jc w:val="center"/>
            </w:pPr>
            <w:r>
              <w:rPr>
                <w:rFonts w:ascii="Malgun Gothic" w:hAnsi="Malgun Gothic" w:eastAsia="Malgun Gothic"/>
                <w:b w:val="0"/>
                <w:sz w:val="18"/>
              </w:rPr>
              <w:t>22</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jc w:val="center"/>
            </w:pPr>
            <w:r>
              <w:rPr>
                <w:rFonts w:ascii="Malgun Gothic" w:hAnsi="Malgun Gothic" w:eastAsia="Malgun Gothic"/>
                <w:b w:val="0"/>
                <w:sz w:val="18"/>
              </w:rPr>
              <w:t>105</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rFonts w:ascii="Malgun Gothic" w:hAnsi="Malgun Gothic" w:eastAsia="Malgun Gothic"/>
                <w:b w:val="0"/>
                <w:sz w:val="18"/>
              </w:rPr>
              <w:t>합계</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441</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352</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89</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368</w:t>
            </w:r>
          </w:p>
        </w:tc>
      </w:tr>
    </w:tbl>
    <w:p>
      <w:pPr>
        <w:spacing w:after="60"/>
      </w:pPr>
    </w:p>
    <w:p>
      <w:pPr>
        <w:spacing w:after="140" w:line="312" w:lineRule="auto"/>
      </w:pPr>
      <w:r>
        <w:rPr>
          <w:rFonts w:ascii="Malgun Gothic" w:hAnsi="Malgun Gothic" w:eastAsia="Malgun Gothic"/>
          <w:b w:val="0"/>
          <w:sz w:val="21"/>
        </w:rPr>
        <w:t>분할 단위는 이미지가 아니라 product_group이다. 같은 제품의 색상·각도·여백만 다른 파생 이미지가 학습과 검증에 섞여 성능이 과대평가되는 것을 방지했다.</w:t>
      </w:r>
    </w:p>
    <w:p>
      <w:pPr>
        <w:pStyle w:val="Heading1"/>
        <w:spacing w:before="320" w:after="140"/>
      </w:pPr>
      <w:r>
        <w:rPr>
          <w:rFonts w:ascii="Malgun Gothic" w:hAnsi="Malgun Gothic" w:eastAsia="Malgun Gothic"/>
          <w:b/>
          <w:sz w:val="30"/>
        </w:rPr>
        <w:t>3. 모델과 실험 절차</w:t>
      </w:r>
    </w:p>
    <w:p>
      <w:pPr>
        <w:spacing w:after="140" w:line="312" w:lineRule="auto"/>
      </w:pPr>
      <w:r>
        <w:rPr>
          <w:rFonts w:ascii="Malgun Gothic" w:hAnsi="Malgun Gothic" w:eastAsia="Malgun Gothic"/>
          <w:b w:val="0"/>
          <w:sz w:val="21"/>
        </w:rPr>
        <w:t>사전학습된 DeiT-Small/16을 기반 모델로 사용했다. 입력은 종횡비를 유지한 채 224 x 224로 패딩하며, 학습과 추론에 같은 전처리를 적용했다. 필요 시 GrabCut 기반 실루엣 추출로 배경 의존성을 진단했다.</w:t>
      </w:r>
    </w:p>
    <w:tbl>
      <w:tblPr>
        <w:tblStyle w:val="TableGrid"/>
        <w:tblW w:type="auto" w:w="0"/>
        <w:tblLayout w:type="fixed"/>
        <w:tblLook w:firstColumn="1" w:firstRow="1" w:lastColumn="0" w:lastRow="0" w:noHBand="0" w:noVBand="1" w:val="04A0"/>
      </w:tblPr>
      <w:tblGrid>
        <w:gridCol w:w="3389"/>
        <w:gridCol w:w="3389"/>
        <w:gridCol w:w="3389"/>
      </w:tblGrid>
      <w:tr>
        <w:tc>
          <w:tcPr>
            <w:tcW w:type="dxa" w:w="1440"/>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Malgun Gothic" w:hAnsi="Malgun Gothic" w:eastAsia="Malgun Gothic"/>
                <w:b/>
                <w:color w:val="FFFFFF"/>
                <w:sz w:val="19"/>
              </w:rPr>
              <w:t>실험</w:t>
            </w:r>
          </w:p>
        </w:tc>
        <w:tc>
          <w:tcPr>
            <w:tcW w:type="dxa" w:w="3672"/>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Malgun Gothic" w:hAnsi="Malgun Gothic" w:eastAsia="Malgun Gothic"/>
                <w:b/>
                <w:color w:val="FFFFFF"/>
                <w:sz w:val="19"/>
              </w:rPr>
              <w:t>학습 방식</w:t>
            </w:r>
          </w:p>
        </w:tc>
        <w:tc>
          <w:tcPr>
            <w:tcW w:type="dxa" w:w="4464"/>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Malgun Gothic" w:hAnsi="Malgun Gothic" w:eastAsia="Malgun Gothic"/>
                <w:b/>
                <w:color w:val="FFFFFF"/>
                <w:sz w:val="19"/>
              </w:rPr>
              <w:t>목적</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rFonts w:ascii="Malgun Gothic" w:hAnsi="Malgun Gothic" w:eastAsia="Malgun Gothic"/>
                <w:b w:val="0"/>
                <w:sz w:val="18"/>
              </w:rPr>
              <w:t>실험 A</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분류 헤드만 학습</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rFonts w:ascii="Malgun Gothic" w:hAnsi="Malgun Gothic" w:eastAsia="Malgun Gothic"/>
                <w:b w:val="0"/>
                <w:sz w:val="18"/>
              </w:rPr>
              <w:t>사전학습 특징을 고정한 기준선 확보</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pPr>
            <w:r>
              <w:rPr>
                <w:rFonts w:ascii="Malgun Gothic" w:hAnsi="Malgun Gothic" w:eastAsia="Malgun Gothic"/>
                <w:b w:val="0"/>
                <w:sz w:val="18"/>
              </w:rPr>
              <w:t>실험 B</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pPr>
            <w:r>
              <w:rPr>
                <w:rFonts w:ascii="Malgun Gothic" w:hAnsi="Malgun Gothic" w:eastAsia="Malgun Gothic"/>
                <w:b w:val="0"/>
                <w:sz w:val="18"/>
              </w:rPr>
              <w:t>마지막 Transformer 블록과 분류 헤드 미세조정</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jc w:val="center"/>
            </w:pPr>
            <w:r>
              <w:rPr>
                <w:rFonts w:ascii="Malgun Gothic" w:hAnsi="Malgun Gothic" w:eastAsia="Malgun Gothic"/>
                <w:b w:val="0"/>
                <w:sz w:val="18"/>
              </w:rPr>
              <w:t>몸통 윤곽에 맞는 특징 조정</w:t>
            </w:r>
          </w:p>
        </w:tc>
      </w:tr>
    </w:tbl>
    <w:p>
      <w:pPr>
        <w:spacing w:after="60"/>
      </w:pPr>
    </w:p>
    <w:p>
      <w:pPr>
        <w:spacing w:after="140" w:line="312" w:lineRule="auto"/>
      </w:pPr>
      <w:r>
        <w:rPr>
          <w:rFonts w:ascii="Malgun Gothic" w:hAnsi="Malgun Gothic" w:eastAsia="Malgun Gothic"/>
          <w:b w:val="0"/>
          <w:sz w:val="21"/>
        </w:rPr>
        <w:t>검증 Macro F1만으로 모델을 선택했다. 실험 B가 우수해 seed 42, 43, 44에서 반복했으며, 최종 선택 모델은 exp_b_seed43이다.</w:t>
      </w:r>
    </w:p>
    <w:p>
      <w:pPr>
        <w:pStyle w:val="Heading1"/>
        <w:spacing w:before="320" w:after="140"/>
      </w:pPr>
      <w:r>
        <w:rPr>
          <w:rFonts w:ascii="Malgun Gothic" w:hAnsi="Malgun Gothic" w:eastAsia="Malgun Gothic"/>
          <w:b/>
          <w:sz w:val="30"/>
        </w:rPr>
        <w:t>4. 평가 방식</w:t>
      </w:r>
    </w:p>
    <w:p>
      <w:pPr>
        <w:spacing w:after="140" w:line="312" w:lineRule="auto"/>
      </w:pPr>
      <w:r>
        <w:rPr>
          <w:rFonts w:ascii="Malgun Gothic" w:hAnsi="Malgun Gothic" w:eastAsia="Malgun Gothic"/>
          <w:b w:val="0"/>
          <w:sz w:val="21"/>
        </w:rPr>
        <w:t>웹 검증 성능만으로 실제 환경 일반화 성능을 판단하지 않기 위해, 팀원이 보유한 텀블러를 휴대폰으로 촬영한 이미지를 학습에서 분리해 평가했다. 최종 핵심 결과는 리비전 실촬영 126장과 웹 검증 89장을 결합한 215장 통합 평가다.</w:t>
      </w:r>
    </w:p>
    <w:p>
      <w:pPr>
        <w:spacing w:after="140" w:line="312" w:lineRule="auto"/>
      </w:pPr>
      <w:r>
        <w:rPr>
          <w:rFonts w:ascii="Malgun Gothic" w:hAnsi="Malgun Gothic" w:eastAsia="Malgun Gothic"/>
          <w:b w:val="0"/>
          <w:sz w:val="21"/>
        </w:rPr>
        <w:t>소규모 현장 파일럿은 실제 제품 8개, 12장으로 별도 확인했다. 이 파일럿은 동작 확인용이며, 표본이 작으므로 최종 성능 주장은 통합 평가 결과를 기준으로 한다.</w:t>
      </w:r>
    </w:p>
    <w:p>
      <w:pPr>
        <w:pStyle w:val="Heading1"/>
        <w:spacing w:before="320" w:after="140"/>
      </w:pPr>
      <w:r>
        <w:rPr>
          <w:rFonts w:ascii="Malgun Gothic" w:hAnsi="Malgun Gothic" w:eastAsia="Malgun Gothic"/>
          <w:b/>
          <w:sz w:val="30"/>
        </w:rPr>
        <w:t>5. 최종 성능 결과</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c>
          <w:tcPr>
            <w:tcW w:type="dxa" w:w="2232"/>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Malgun Gothic" w:hAnsi="Malgun Gothic" w:eastAsia="Malgun Gothic"/>
                <w:b/>
                <w:color w:val="FFFFFF"/>
                <w:sz w:val="19"/>
              </w:rPr>
              <w:t>평가셋</w:t>
            </w:r>
          </w:p>
        </w:tc>
        <w:tc>
          <w:tcPr>
            <w:tcW w:type="dxa" w:w="1152"/>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Malgun Gothic" w:hAnsi="Malgun Gothic" w:eastAsia="Malgun Gothic"/>
                <w:b/>
                <w:color w:val="FFFFFF"/>
                <w:sz w:val="19"/>
              </w:rPr>
              <w:t>이미지 수</w:t>
            </w:r>
          </w:p>
        </w:tc>
        <w:tc>
          <w:tcPr>
            <w:tcW w:type="dxa" w:w="1440"/>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Malgun Gothic" w:hAnsi="Malgun Gothic" w:eastAsia="Malgun Gothic"/>
                <w:b/>
                <w:color w:val="FFFFFF"/>
                <w:sz w:val="19"/>
              </w:rPr>
              <w:t>Macro F1</w:t>
            </w:r>
          </w:p>
        </w:tc>
        <w:tc>
          <w:tcPr>
            <w:tcW w:type="dxa" w:w="1368"/>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Malgun Gothic" w:hAnsi="Malgun Gothic" w:eastAsia="Malgun Gothic"/>
                <w:b/>
                <w:color w:val="FFFFFF"/>
                <w:sz w:val="19"/>
              </w:rPr>
              <w:t>Accuracy</w:t>
            </w:r>
          </w:p>
        </w:tc>
        <w:tc>
          <w:tcPr>
            <w:tcW w:type="dxa" w:w="3456"/>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Malgun Gothic" w:hAnsi="Malgun Gothic" w:eastAsia="Malgun Gothic"/>
                <w:b/>
                <w:color w:val="FFFFFF"/>
                <w:sz w:val="19"/>
              </w:rPr>
              <w:t>해석</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rFonts w:ascii="Malgun Gothic" w:hAnsi="Malgun Gothic" w:eastAsia="Malgun Gothic"/>
                <w:b w:val="0"/>
                <w:sz w:val="18"/>
              </w:rPr>
              <w:t>웹 검증</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89</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0.9678</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0.9663</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rFonts w:ascii="Malgun Gothic" w:hAnsi="Malgun Gothic" w:eastAsia="Malgun Gothic"/>
                <w:b w:val="0"/>
                <w:sz w:val="18"/>
              </w:rPr>
              <w:t>제품 그룹을 분리한 웹 이미지</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pPr>
            <w:r>
              <w:rPr>
                <w:rFonts w:ascii="Malgun Gothic" w:hAnsi="Malgun Gothic" w:eastAsia="Malgun Gothic"/>
                <w:b w:val="0"/>
                <w:sz w:val="18"/>
              </w:rPr>
              <w:t>리비전 실촬영</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jc w:val="center"/>
            </w:pPr>
            <w:r>
              <w:rPr>
                <w:rFonts w:ascii="Malgun Gothic" w:hAnsi="Malgun Gothic" w:eastAsia="Malgun Gothic"/>
                <w:b w:val="0"/>
                <w:sz w:val="18"/>
              </w:rPr>
              <w:t>126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jc w:val="center"/>
            </w:pPr>
            <w:r>
              <w:rPr>
                <w:rFonts w:ascii="Malgun Gothic" w:hAnsi="Malgun Gothic" w:eastAsia="Malgun Gothic"/>
                <w:b w:val="0"/>
                <w:sz w:val="18"/>
              </w:rPr>
              <w:t>0.8161</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jc w:val="center"/>
            </w:pPr>
            <w:r>
              <w:rPr>
                <w:rFonts w:ascii="Malgun Gothic" w:hAnsi="Malgun Gothic" w:eastAsia="Malgun Gothic"/>
                <w:b w:val="0"/>
                <w:sz w:val="18"/>
              </w:rPr>
              <w:t>0.8095</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jc w:val="center"/>
            </w:pPr>
            <w:r>
              <w:rPr>
                <w:rFonts w:ascii="Malgun Gothic" w:hAnsi="Malgun Gothic" w:eastAsia="Malgun Gothic"/>
                <w:b w:val="0"/>
                <w:sz w:val="18"/>
              </w:rPr>
              <w:t>실제 촬영 환경 일반화</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rFonts w:ascii="Malgun Gothic" w:hAnsi="Malgun Gothic" w:eastAsia="Malgun Gothic"/>
                <w:b w:val="0"/>
                <w:sz w:val="18"/>
              </w:rPr>
              <w:t>통합 평가</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215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0.8784</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0.8744</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rFonts w:ascii="Malgun Gothic" w:hAnsi="Malgun Gothic" w:eastAsia="Malgun Gothic"/>
                <w:b w:val="0"/>
                <w:sz w:val="18"/>
              </w:rPr>
              <w:t>웹 검증 + 실촬영 최종 기준</w:t>
            </w:r>
          </w:p>
        </w:tc>
      </w:tr>
    </w:tbl>
    <w:p>
      <w:pPr>
        <w:spacing w:after="60"/>
      </w:pP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c>
          <w:tcPr>
            <w:tcW w:type="dxa" w:w="2448"/>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Malgun Gothic" w:hAnsi="Malgun Gothic" w:eastAsia="Malgun Gothic"/>
                <w:b/>
                <w:color w:val="FFFFFF"/>
                <w:sz w:val="19"/>
              </w:rPr>
              <w:t>클래스</w:t>
            </w:r>
          </w:p>
        </w:tc>
        <w:tc>
          <w:tcPr>
            <w:tcW w:type="dxa" w:w="1440"/>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Malgun Gothic" w:hAnsi="Malgun Gothic" w:eastAsia="Malgun Gothic"/>
                <w:b/>
                <w:color w:val="FFFFFF"/>
                <w:sz w:val="19"/>
              </w:rPr>
              <w:t>이미지 수</w:t>
            </w:r>
          </w:p>
        </w:tc>
        <w:tc>
          <w:tcPr>
            <w:tcW w:type="dxa" w:w="1656"/>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Malgun Gothic" w:hAnsi="Malgun Gothic" w:eastAsia="Malgun Gothic"/>
                <w:b/>
                <w:color w:val="FFFFFF"/>
                <w:sz w:val="19"/>
              </w:rPr>
              <w:t>Precision</w:t>
            </w:r>
          </w:p>
        </w:tc>
        <w:tc>
          <w:tcPr>
            <w:tcW w:type="dxa" w:w="1440"/>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Malgun Gothic" w:hAnsi="Malgun Gothic" w:eastAsia="Malgun Gothic"/>
                <w:b/>
                <w:color w:val="FFFFFF"/>
                <w:sz w:val="19"/>
              </w:rPr>
              <w:t>Recall</w:t>
            </w:r>
          </w:p>
        </w:tc>
        <w:tc>
          <w:tcPr>
            <w:tcW w:type="dxa" w:w="1440"/>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Malgun Gothic" w:hAnsi="Malgun Gothic" w:eastAsia="Malgun Gothic"/>
                <w:b/>
                <w:color w:val="FFFFFF"/>
                <w:sz w:val="19"/>
              </w:rPr>
              <w:t>F1</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rFonts w:ascii="Malgun Gothic" w:hAnsi="Malgun Gothic" w:eastAsia="Malgun Gothic"/>
                <w:b w:val="0"/>
                <w:sz w:val="18"/>
              </w:rPr>
              <w:t>straight</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64</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0.8525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0.8125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0.8320</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pPr>
            <w:r>
              <w:rPr>
                <w:rFonts w:ascii="Malgun Gothic" w:hAnsi="Malgun Gothic" w:eastAsia="Malgun Gothic"/>
                <w:b w:val="0"/>
                <w:sz w:val="18"/>
              </w:rPr>
              <w:t>taper_smooth</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jc w:val="center"/>
            </w:pPr>
            <w:r>
              <w:rPr>
                <w:rFonts w:ascii="Malgun Gothic" w:hAnsi="Malgun Gothic" w:eastAsia="Malgun Gothic"/>
                <w:b w:val="0"/>
                <w:sz w:val="18"/>
              </w:rPr>
              <w:t>52</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jc w:val="center"/>
            </w:pPr>
            <w:r>
              <w:rPr>
                <w:rFonts w:ascii="Malgun Gothic" w:hAnsi="Malgun Gothic" w:eastAsia="Malgun Gothic"/>
                <w:b w:val="0"/>
                <w:sz w:val="18"/>
              </w:rPr>
              <w:t>0.7869</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jc w:val="center"/>
            </w:pPr>
            <w:r>
              <w:rPr>
                <w:rFonts w:ascii="Malgun Gothic" w:hAnsi="Malgun Gothic" w:eastAsia="Malgun Gothic"/>
                <w:b w:val="0"/>
                <w:sz w:val="18"/>
              </w:rPr>
              <w:t>0.9231</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jc w:val="center"/>
            </w:pPr>
            <w:r>
              <w:rPr>
                <w:rFonts w:ascii="Malgun Gothic" w:hAnsi="Malgun Gothic" w:eastAsia="Malgun Gothic"/>
                <w:b w:val="0"/>
                <w:sz w:val="18"/>
              </w:rPr>
              <w:t>0.8496</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rFonts w:ascii="Malgun Gothic" w:hAnsi="Malgun Gothic" w:eastAsia="Malgun Gothic"/>
                <w:b w:val="0"/>
                <w:sz w:val="18"/>
              </w:rPr>
              <w:t>taper_step</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55</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0.9796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0.8727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jc w:val="center"/>
            </w:pPr>
            <w:r>
              <w:rPr>
                <w:rFonts w:ascii="Malgun Gothic" w:hAnsi="Malgun Gothic" w:eastAsia="Malgun Gothic"/>
                <w:b w:val="0"/>
                <w:sz w:val="18"/>
              </w:rPr>
              <w:t>0.9231</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pPr>
            <w:r>
              <w:rPr>
                <w:rFonts w:ascii="Malgun Gothic" w:hAnsi="Malgun Gothic" w:eastAsia="Malgun Gothic"/>
                <w:b w:val="0"/>
                <w:sz w:val="18"/>
              </w:rPr>
              <w:t>mug</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jc w:val="center"/>
            </w:pPr>
            <w:r>
              <w:rPr>
                <w:rFonts w:ascii="Malgun Gothic" w:hAnsi="Malgun Gothic" w:eastAsia="Malgun Gothic"/>
                <w:b w:val="0"/>
                <w:sz w:val="18"/>
              </w:rPr>
              <w:t>44</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jc w:val="center"/>
            </w:pPr>
            <w:r>
              <w:rPr>
                <w:rFonts w:ascii="Malgun Gothic" w:hAnsi="Malgun Gothic" w:eastAsia="Malgun Gothic"/>
                <w:b w:val="0"/>
                <w:sz w:val="18"/>
              </w:rPr>
              <w:t>0.9091</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jc w:val="center"/>
            </w:pPr>
            <w:r>
              <w:rPr>
                <w:rFonts w:ascii="Malgun Gothic" w:hAnsi="Malgun Gothic" w:eastAsia="Malgun Gothic"/>
                <w:b w:val="0"/>
                <w:sz w:val="18"/>
              </w:rPr>
              <w:t>0.9091</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spacing w:after="40" w:before="40"/>
              <w:jc w:val="center"/>
            </w:pPr>
            <w:r>
              <w:rPr>
                <w:rFonts w:ascii="Malgun Gothic" w:hAnsi="Malgun Gothic" w:eastAsia="Malgun Gothic"/>
                <w:b w:val="0"/>
                <w:sz w:val="18"/>
              </w:rPr>
              <w:t>0.9091</w:t>
            </w:r>
          </w:p>
        </w:tc>
      </w:tr>
    </w:tbl>
    <w:p>
      <w:pPr>
        <w:spacing w:after="60"/>
      </w:pPr>
    </w:p>
    <w:p>
      <w:pPr>
        <w:spacing w:after="140" w:line="312" w:lineRule="auto"/>
      </w:pPr>
      <w:r>
        <w:rPr>
          <w:rFonts w:ascii="Malgun Gothic" w:hAnsi="Malgun Gothic" w:eastAsia="Malgun Gothic"/>
          <w:b w:val="0"/>
          <w:sz w:val="21"/>
        </w:rPr>
        <w:t>taper_step은 단차라는 구조적 단서가 뚜렷해 가장 높은 F1을 기록했다. mug도 낮은 높이-너비 비율이 분명해 안정적이었다. 반면 straight와 taper_smooth는 부감 각도와 완만한 곡면 때문에 상호 혼동이 상대적으로 컸다.</w:t>
      </w:r>
    </w:p>
    <w:p>
      <w:pPr>
        <w:pStyle w:val="Heading1"/>
        <w:spacing w:before="320" w:after="140"/>
      </w:pPr>
      <w:r>
        <w:rPr>
          <w:rFonts w:ascii="Malgun Gothic" w:hAnsi="Malgun Gothic" w:eastAsia="Malgun Gothic"/>
          <w:b/>
          <w:sz w:val="30"/>
        </w:rPr>
        <w:t>6. 실행 성능과 산출물</w:t>
      </w:r>
    </w:p>
    <w:p>
      <w:pPr>
        <w:spacing w:after="140" w:line="312" w:lineRule="auto"/>
      </w:pPr>
      <w:r>
        <w:rPr>
          <w:rFonts w:ascii="Malgun Gothic" w:hAnsi="Malgun Gothic" w:eastAsia="Malgun Gothic"/>
          <w:b w:val="0"/>
          <w:sz w:val="21"/>
        </w:rPr>
        <w:t>NVIDIA GeForce RTX 4050 Laptop GPU에서 순수 GPU 추론은 약 39.2ms/장, 초당 약 25.5장이다. 웹 이미지 전체 전처리와 추론은 약 58.9ms/장, 초당 약 17.0장이다. 4000 x 3000 실촬영 원본은 전처리 비중으로 약 795.4ms/장이므로, 서비스 적용 시 입력 해상도 축소 또는 제품 영역 추출 최적화가 필요하다.</w:t>
      </w:r>
    </w:p>
    <w:p>
      <w:pPr>
        <w:spacing w:after="140" w:line="312" w:lineRule="auto"/>
      </w:pPr>
      <w:r>
        <w:rPr>
          <w:rFonts w:ascii="Malgun Gothic" w:hAnsi="Malgun Gothic" w:eastAsia="Malgun Gothic"/>
          <w:b w:val="0"/>
          <w:sz w:val="21"/>
        </w:rPr>
        <w:t>저장소에는 데이터 검사·중복 제거·제품 그룹 분할·학습·단일 이미지 예측·실촬영 평가·통합 평가·Grad-CAM 시각화 코드와 최종 가중치, 성능 리포트, 혼동행렬이 포함되어 있다. 웹 원본 이미지는 저장 용량과 수집 출처 문제로 포함하지 않았으므로, 재학습 시 metadata.csv의 full_path를 팀원별 raw 데이터 경로에 맞게 갱신해야 한다.</w:t>
      </w:r>
    </w:p>
    <w:p>
      <w:pPr>
        <w:pStyle w:val="Heading1"/>
        <w:spacing w:before="320" w:after="140"/>
      </w:pPr>
      <w:r>
        <w:rPr>
          <w:rFonts w:ascii="Malgun Gothic" w:hAnsi="Malgun Gothic" w:eastAsia="Malgun Gothic"/>
          <w:b/>
          <w:sz w:val="30"/>
        </w:rPr>
        <w:t>7. 한계와 다음 단계</w:t>
      </w:r>
    </w:p>
    <w:p>
      <w:pPr>
        <w:spacing w:after="140" w:line="312" w:lineRule="auto"/>
      </w:pPr>
      <w:r>
        <w:rPr>
          <w:rFonts w:ascii="Malgun Gothic" w:hAnsi="Malgun Gothic" w:eastAsia="Malgun Gothic"/>
          <w:b w:val="0"/>
          <w:sz w:val="21"/>
        </w:rPr>
        <w:t>실제 촬영 성능이 웹 검증보다 낮으므로, 조명·카메라 각도·손 가림·배경·표면 반사를 포함한 실제 촬영 데이터를 추가해야 한다. 특히 straight와 taper_smooth의 경계 사례를 우선 보강해 두 클래스의 혼동을 낮추는 것이 다음 핵심 과제다.</w:t>
      </w:r>
    </w:p>
    <w:p>
      <w:pPr>
        <w:spacing w:after="140" w:line="312" w:lineRule="auto"/>
      </w:pPr>
      <w:r>
        <w:rPr>
          <w:rFonts w:ascii="Malgun Gothic" w:hAnsi="Malgun Gothic" w:eastAsia="Malgun Gothic"/>
          <w:b w:val="0"/>
          <w:sz w:val="21"/>
        </w:rPr>
        <w:t>현재 입력은 한 개의 텀블러가 중심에 명확히 보이는 상황을 전제로 한다. 여러 제품이 함께 나타나는 상황까지 지원하려면 객체 탐지 또는 제품 영역 분할 단계를 분류기 앞에 추가해야 한다.</w:t>
      </w:r>
    </w:p>
    <w:p>
      <w:pPr>
        <w:pStyle w:val="Heading1"/>
        <w:spacing w:before="320" w:after="140"/>
      </w:pPr>
      <w:r>
        <w:rPr>
          <w:rFonts w:ascii="Malgun Gothic" w:hAnsi="Malgun Gothic" w:eastAsia="Malgun Gothic"/>
          <w:b/>
          <w:sz w:val="30"/>
        </w:rPr>
        <w:t>8. 결론</w:t>
      </w:r>
    </w:p>
    <w:p>
      <w:pPr>
        <w:spacing w:after="140" w:line="312" w:lineRule="auto"/>
      </w:pPr>
      <w:r>
        <w:rPr>
          <w:rFonts w:ascii="Malgun Gothic" w:hAnsi="Malgun Gothic" w:eastAsia="Malgun Gothic"/>
          <w:b w:val="0"/>
          <w:sz w:val="21"/>
        </w:rPr>
        <w:t>본 프로젝트는 형태 기준을 명확히 정의하고, 제품 그룹 단위 분할과 실제 촬영 평가를 통해 과대평가 가능성을 줄인 텀블러 형태 분류 시스템이다. 최종 모델은 비학습 215장 통합 평가에서 Macro F1 0.8784를 달성했으며, 구조적 특징이 뚜렷한 taper_step과 mug에서 특히 안정적인 성능을 보였다.</w:t>
      </w:r>
    </w:p>
    <w:sectPr w:rsidR="00FC693F" w:rsidRPr="0006063C" w:rsidSect="00034616">
      <w:pgSz w:w="12240" w:h="15840"/>
      <w:pgMar w:top="1080" w:right="1037" w:bottom="108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텀블러 4종 형태 분류 프로젝트 전개 및 결과</dc:title>
  <dc:subject/>
  <dc:creator>tayyyyn</dc:creator>
  <cp:keywords/>
  <dc:description>generated by python-docx</dc:description>
  <cp:lastModifiedBy/>
  <cp:revision>1</cp:revision>
  <dcterms:created xsi:type="dcterms:W3CDTF">2013-12-23T23:15:00Z</dcterms:created>
  <dcterms:modified xsi:type="dcterms:W3CDTF">2013-12-23T23:15:00Z</dcterms:modified>
  <cp:category/>
</cp:coreProperties>
</file>