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aster-service-agreement"/>
    <w:p>
      <w:pPr>
        <w:pStyle w:val="Heading1"/>
      </w:pPr>
      <w:r>
        <w:t xml:space="preserve">Master Service Agreement</w:t>
      </w:r>
    </w:p>
    <w:p>
      <w:pPr>
        <w:pStyle w:val="FirstParagraph"/>
      </w:pPr>
      <w:r>
        <w:rPr>
          <w:bCs/>
          <w:b/>
        </w:rPr>
        <w:t xml:space="preserve">Dunder AI Inc. &amp; Initech Financial Group Inc.</w:t>
      </w:r>
      <w:r>
        <w:t xml:space="preserve"> </w:t>
      </w:r>
      <w:r>
        <w:rPr>
          <w:iCs/>
          <w:i/>
        </w:rPr>
        <w:t xml:space="preserve">Original Draft — Proposed by Dunder AI</w:t>
      </w:r>
    </w:p>
    <w:p>
      <w:r>
        <w:pict>
          <v:rect style="width:0;height:1.5pt" o:hralign="center" o:hrstd="t" o:hr="t"/>
        </w:pict>
      </w:r>
    </w:p>
    <w:bookmarkStart w:id="31" w:name="master-service-agreement-1"/>
    <w:p>
      <w:pPr>
        <w:pStyle w:val="Heading2"/>
      </w:pPr>
      <w:r>
        <w:t xml:space="preserve">MASTER SERVICE AGREEMENT</w:t>
      </w:r>
    </w:p>
    <w:p>
      <w:pPr>
        <w:pStyle w:val="FirstParagraph"/>
      </w:pPr>
      <w:r>
        <w:t xml:space="preserve">This Master Service Agreement (the</w:t>
      </w:r>
      <w:r>
        <w:t xml:space="preserve"> </w:t>
      </w:r>
      <w:r>
        <w:rPr>
          <w:bCs/>
          <w:b/>
        </w:rPr>
        <w:t xml:space="preserve">“</w:t>
      </w:r>
      <w:r>
        <w:rPr>
          <w:bCs/>
          <w:b/>
        </w:rPr>
        <w:t xml:space="preserve">Agreement</w:t>
      </w:r>
      <w:r>
        <w:rPr>
          <w:bCs/>
          <w:b/>
        </w:rPr>
        <w:t xml:space="preserve">”</w:t>
      </w:r>
      <w:r>
        <w:t xml:space="preserve">) is entered into as of the date last signed below (the</w:t>
      </w:r>
      <w:r>
        <w:t xml:space="preserve"> </w:t>
      </w:r>
      <w:r>
        <w:rPr>
          <w:bCs/>
          <w:b/>
        </w:rPr>
        <w:t xml:space="preserve">“</w:t>
      </w:r>
      <w:r>
        <w:rPr>
          <w:bCs/>
          <w:b/>
        </w:rPr>
        <w:t xml:space="preserve">Effective Date</w:t>
      </w:r>
      <w:r>
        <w:rPr>
          <w:bCs/>
          <w:b/>
        </w:rPr>
        <w:t xml:space="preserve">”</w:t>
      </w:r>
      <w:r>
        <w:t xml:space="preserve">) between:</w:t>
      </w:r>
    </w:p>
    <w:p>
      <w:pPr>
        <w:pStyle w:val="BodyText"/>
      </w:pPr>
      <w:r>
        <w:rPr>
          <w:bCs/>
          <w:b/>
        </w:rPr>
        <w:t xml:space="preserve">Dunder AI Inc.</w:t>
      </w:r>
      <w:r>
        <w:t xml:space="preserve">, a corporation incorporated under the laws of Ontario, with its principal place of business at 200 King Street West, Suite 400, Toronto, Ontario M5H 3T4 (</w:t>
      </w:r>
      <w:r>
        <w:t xml:space="preserve">“</w:t>
      </w:r>
      <w:r>
        <w:rPr>
          <w:bCs/>
          <w:b/>
        </w:rPr>
        <w:t xml:space="preserve">Vendor</w:t>
      </w:r>
      <w:r>
        <w:t xml:space="preserve">”</w:t>
      </w:r>
      <w:r>
        <w:t xml:space="preserve">); and</w:t>
      </w:r>
    </w:p>
    <w:p>
      <w:pPr>
        <w:pStyle w:val="BodyText"/>
      </w:pPr>
      <w:r>
        <w:rPr>
          <w:bCs/>
          <w:b/>
        </w:rPr>
        <w:t xml:space="preserve">Initech Financial Group Inc.</w:t>
      </w:r>
      <w:r>
        <w:t xml:space="preserve">, a corporation incorporated under the laws of Ontario, with its principal place of business at 100 Wellington Street West, Toronto, Ontario M5K 1J3 (</w:t>
      </w:r>
      <w:r>
        <w:t xml:space="preserve">“</w:t>
      </w:r>
      <w:r>
        <w:rPr>
          <w:bCs/>
          <w:b/>
        </w:rPr>
        <w:t xml:space="preserve">Client</w:t>
      </w:r>
      <w:r>
        <w:t xml:space="preserve">”</w:t>
      </w:r>
      <w:r>
        <w:t xml:space="preserve">).</w:t>
      </w:r>
    </w:p>
    <w:p>
      <w:r>
        <w:pict>
          <v:rect style="width:0;height:1.5pt" o:hralign="center" o:hrstd="t" o:hr="t"/>
        </w:pict>
      </w:r>
    </w:p>
    <w:bookmarkStart w:id="20" w:name="definitions"/>
    <w:p>
      <w:pPr>
        <w:pStyle w:val="Heading3"/>
      </w:pPr>
      <w:r>
        <w:t xml:space="preserve">1. DEFINITIONS</w:t>
      </w:r>
    </w:p>
    <w:p>
      <w:pPr>
        <w:pStyle w:val="FirstParagraph"/>
      </w:pPr>
      <w:r>
        <w:rPr>
          <w:bCs/>
          <w:b/>
        </w:rPr>
        <w:t xml:space="preserve">1.1</w:t>
      </w:r>
      <w:r>
        <w:t xml:space="preserve"> </w:t>
      </w:r>
      <w:r>
        <w:t xml:space="preserve">“</w:t>
      </w:r>
      <w:r>
        <w:rPr>
          <w:bCs/>
          <w:b/>
        </w:rPr>
        <w:t xml:space="preserve">Services</w:t>
      </w:r>
      <w:r>
        <w:t xml:space="preserve">”</w:t>
      </w:r>
      <w:r>
        <w:t xml:space="preserve"> </w:t>
      </w:r>
      <w:r>
        <w:t xml:space="preserve">means the software-as-a-service platform and related professional services described in one or more Order Forms entered into under this Agreement.</w:t>
      </w:r>
    </w:p>
    <w:p>
      <w:pPr>
        <w:pStyle w:val="BodyText"/>
      </w:pPr>
      <w:r>
        <w:rPr>
          <w:bCs/>
          <w:b/>
        </w:rPr>
        <w:t xml:space="preserve">1.2</w:t>
      </w:r>
      <w:r>
        <w:t xml:space="preserve"> </w:t>
      </w:r>
      <w:r>
        <w:t xml:space="preserve">“</w:t>
      </w:r>
      <w:r>
        <w:rPr>
          <w:bCs/>
          <w:b/>
        </w:rPr>
        <w:t xml:space="preserve">Order Form</w:t>
      </w:r>
      <w:r>
        <w:t xml:space="preserve">”</w:t>
      </w:r>
      <w:r>
        <w:t xml:space="preserve"> </w:t>
      </w:r>
      <w:r>
        <w:t xml:space="preserve">means a document executed by both parties specifying the Services, fees, and any additional terms for a particular engagement.</w:t>
      </w:r>
    </w:p>
    <w:p>
      <w:pPr>
        <w:pStyle w:val="BodyText"/>
      </w:pPr>
      <w:r>
        <w:rPr>
          <w:bCs/>
          <w:b/>
        </w:rPr>
        <w:t xml:space="preserve">1.3</w:t>
      </w:r>
      <w:r>
        <w:t xml:space="preserve"> </w:t>
      </w:r>
      <w:r>
        <w:t xml:space="preserve">“</w:t>
      </w:r>
      <w:r>
        <w:rPr>
          <w:bCs/>
          <w:b/>
        </w:rPr>
        <w:t xml:space="preserve">Client Data</w:t>
      </w:r>
      <w:r>
        <w:t xml:space="preserve">”</w:t>
      </w:r>
      <w:r>
        <w:t xml:space="preserve"> </w:t>
      </w:r>
      <w:r>
        <w:t xml:space="preserve">means any data, documents, or content uploaded to the platform by Client or its authorized users.</w:t>
      </w:r>
    </w:p>
    <w:p>
      <w:pPr>
        <w:pStyle w:val="BodyText"/>
      </w:pPr>
      <w:r>
        <w:rPr>
          <w:bCs/>
          <w:b/>
        </w:rPr>
        <w:t xml:space="preserve">1.4</w:t>
      </w:r>
      <w:r>
        <w:t xml:space="preserve"> </w:t>
      </w:r>
      <w:r>
        <w:t xml:space="preserve">“</w:t>
      </w:r>
      <w:r>
        <w:rPr>
          <w:bCs/>
          <w:b/>
        </w:rPr>
        <w:t xml:space="preserve">Documentation</w:t>
      </w:r>
      <w:r>
        <w:t xml:space="preserve">”</w:t>
      </w:r>
      <w:r>
        <w:t xml:space="preserve"> </w:t>
      </w:r>
      <w:r>
        <w:t xml:space="preserve">means the technical and user documentation made available by Vendor for the Services.</w:t>
      </w:r>
    </w:p>
    <w:p>
      <w:pPr>
        <w:pStyle w:val="BodyText"/>
      </w:pPr>
      <w:r>
        <w:rPr>
          <w:bCs/>
          <w:b/>
        </w:rPr>
        <w:t xml:space="preserve">1.5</w:t>
      </w:r>
      <w:r>
        <w:t xml:space="preserve"> </w:t>
      </w:r>
      <w:r>
        <w:t xml:space="preserve">“</w:t>
      </w:r>
      <w:r>
        <w:rPr>
          <w:bCs/>
          <w:b/>
        </w:rPr>
        <w:t xml:space="preserve">Confidential Information</w:t>
      </w:r>
      <w:r>
        <w:t xml:space="preserve">”</w:t>
      </w:r>
      <w:r>
        <w:t xml:space="preserve"> </w:t>
      </w:r>
      <w:r>
        <w:t xml:space="preserve">has the meaning set out in Section 8.</w:t>
      </w:r>
    </w:p>
    <w:p>
      <w:pPr>
        <w:pStyle w:val="BodyText"/>
      </w:pPr>
      <w:r>
        <w:rPr>
          <w:bCs/>
          <w:b/>
        </w:rPr>
        <w:t xml:space="preserve">1.6</w:t>
      </w:r>
      <w:r>
        <w:t xml:space="preserve"> </w:t>
      </w:r>
      <w:r>
        <w:t xml:space="preserve">“</w:t>
      </w:r>
      <w:r>
        <w:rPr>
          <w:bCs/>
          <w:b/>
        </w:rPr>
        <w:t xml:space="preserve">Intellectual Property Rights</w:t>
      </w:r>
      <w:r>
        <w:t xml:space="preserve">”</w:t>
      </w:r>
      <w:r>
        <w:t xml:space="preserve"> </w:t>
      </w:r>
      <w:r>
        <w:t xml:space="preserve">means all patents, copyrights, trademarks, trade secrets, and other intellectual property rights recognized under applicable law.</w:t>
      </w:r>
    </w:p>
    <w:p>
      <w:r>
        <w:pict>
          <v:rect style="width:0;height:1.5pt" o:hralign="center" o:hrstd="t" o:hr="t"/>
        </w:pict>
      </w:r>
    </w:p>
    <w:bookmarkEnd w:id="20"/>
    <w:bookmarkStart w:id="21" w:name="services"/>
    <w:p>
      <w:pPr>
        <w:pStyle w:val="Heading3"/>
      </w:pPr>
      <w:r>
        <w:t xml:space="preserve">2. SERVICES</w:t>
      </w:r>
    </w:p>
    <w:p>
      <w:pPr>
        <w:pStyle w:val="FirstParagraph"/>
      </w:pPr>
      <w:r>
        <w:rPr>
          <w:bCs/>
          <w:b/>
        </w:rPr>
        <w:t xml:space="preserve">2.1 Provision of Services.</w:t>
      </w:r>
      <w:r>
        <w:t xml:space="preserve"> </w:t>
      </w:r>
      <w:r>
        <w:t xml:space="preserve">Vendor will make the Services available to Client in accordance with this Agreement and the applicable Order Form. Vendor will use commercially reasonable efforts to ensure the Services are available 99.5% of the time in any given calendar month, excluding scheduled maintenance windows communicated at least 48 hours in advance.</w:t>
      </w:r>
    </w:p>
    <w:p>
      <w:pPr>
        <w:pStyle w:val="BodyText"/>
      </w:pPr>
      <w:r>
        <w:rPr>
          <w:bCs/>
          <w:b/>
        </w:rPr>
        <w:t xml:space="preserve">2.2 Professional Services.</w:t>
      </w:r>
      <w:r>
        <w:t xml:space="preserve"> </w:t>
      </w:r>
      <w:r>
        <w:t xml:space="preserve">Where an Order Form includes professional services (e.g., implementation, training, custom configuration), Vendor will perform such services in a professional and workmanlike manner consistent with industry standards.</w:t>
      </w:r>
    </w:p>
    <w:p>
      <w:pPr>
        <w:pStyle w:val="BodyText"/>
      </w:pPr>
      <w:r>
        <w:rPr>
          <w:bCs/>
          <w:b/>
        </w:rPr>
        <w:t xml:space="preserve">2.3 Changes to Services.</w:t>
      </w:r>
      <w:r>
        <w:t xml:space="preserve"> </w:t>
      </w:r>
      <w:r>
        <w:t xml:space="preserve">Vendor may update or modify the Services from time to time, provided that no update will materially reduce the core functionality available to Client during a paid subscription term without at least ninety (90) days’ prior written notice.</w:t>
      </w:r>
    </w:p>
    <w:p>
      <w:pPr>
        <w:pStyle w:val="BodyText"/>
      </w:pPr>
      <w:r>
        <w:rPr>
          <w:bCs/>
          <w:b/>
        </w:rPr>
        <w:t xml:space="preserve">2.4 Support.</w:t>
      </w:r>
      <w:r>
        <w:t xml:space="preserve"> </w:t>
      </w:r>
      <w:r>
        <w:t xml:space="preserve">Vendor will provide standard technical support during business hours (Monday to Friday, 9:00 AM to 5:00 PM Eastern Time), excluding Canadian statutory holidays. Enhanced support terms may be specified in an Order Form.</w:t>
      </w:r>
    </w:p>
    <w:p>
      <w:r>
        <w:pict>
          <v:rect style="width:0;height:1.5pt" o:hralign="center" o:hrstd="t" o:hr="t"/>
        </w:pict>
      </w:r>
    </w:p>
    <w:bookmarkEnd w:id="21"/>
    <w:bookmarkStart w:id="22" w:name="client-obligations"/>
    <w:p>
      <w:pPr>
        <w:pStyle w:val="Heading3"/>
      </w:pPr>
      <w:r>
        <w:t xml:space="preserve">3. CLIENT OBLIGATIONS</w:t>
      </w:r>
    </w:p>
    <w:p>
      <w:pPr>
        <w:pStyle w:val="FirstParagraph"/>
      </w:pPr>
      <w:r>
        <w:rPr>
          <w:bCs/>
          <w:b/>
        </w:rPr>
        <w:t xml:space="preserve">3.1</w:t>
      </w:r>
      <w:r>
        <w:t xml:space="preserve"> </w:t>
      </w:r>
      <w:r>
        <w:t xml:space="preserve">Client is responsible for: (a) ensuring its authorized users comply with this Agreement and applicable Documentation; (b) the accuracy, legality, and appropriateness of Client Data uploaded to the platform; and (c) maintaining the security and confidentiality of user account credentials.</w:t>
      </w:r>
    </w:p>
    <w:p>
      <w:pPr>
        <w:pStyle w:val="BodyText"/>
      </w:pPr>
      <w:r>
        <w:rPr>
          <w:bCs/>
          <w:b/>
        </w:rPr>
        <w:t xml:space="preserve">3.2</w:t>
      </w:r>
      <w:r>
        <w:t xml:space="preserve"> </w:t>
      </w:r>
      <w:r>
        <w:t xml:space="preserve">Client will not: (a) resell, sublicense, or otherwise make the Services available to third parties; (b) use the Services to develop a competing product; (c) attempt to reverse engineer or decompile the platform; or (d) remove or obscure any proprietary notices included in the Services.</w:t>
      </w:r>
    </w:p>
    <w:p>
      <w:r>
        <w:pict>
          <v:rect style="width:0;height:1.5pt" o:hralign="center" o:hrstd="t" o:hr="t"/>
        </w:pict>
      </w:r>
    </w:p>
    <w:bookmarkEnd w:id="22"/>
    <w:bookmarkStart w:id="23" w:name="fees-and-payment"/>
    <w:p>
      <w:pPr>
        <w:pStyle w:val="Heading3"/>
      </w:pPr>
      <w:r>
        <w:t xml:space="preserve">4. FEES AND PAYMENT</w:t>
      </w:r>
    </w:p>
    <w:p>
      <w:pPr>
        <w:pStyle w:val="FirstParagraph"/>
      </w:pPr>
      <w:r>
        <w:rPr>
          <w:bCs/>
          <w:b/>
        </w:rPr>
        <w:t xml:space="preserve">4.1 Fees.</w:t>
      </w:r>
      <w:r>
        <w:t xml:space="preserve"> </w:t>
      </w:r>
      <w:r>
        <w:t xml:space="preserve">Client will pay the fees set out in the applicable Order Form. All fees are in Canadian dollars unless otherwise specified.</w:t>
      </w:r>
    </w:p>
    <w:p>
      <w:pPr>
        <w:pStyle w:val="BodyText"/>
      </w:pPr>
      <w:r>
        <w:rPr>
          <w:bCs/>
          <w:b/>
        </w:rPr>
        <w:t xml:space="preserve">4.2 Payment Terms.</w:t>
      </w:r>
      <w:r>
        <w:t xml:space="preserve"> </w:t>
      </w:r>
      <w:r>
        <w:t xml:space="preserve">Invoices are due within thirty (30) days of the invoice date. Overdue amounts bear interest at 1.5% per month (18% per annum).</w:t>
      </w:r>
    </w:p>
    <w:p>
      <w:pPr>
        <w:pStyle w:val="BodyText"/>
      </w:pPr>
      <w:r>
        <w:rPr>
          <w:bCs/>
          <w:b/>
        </w:rPr>
        <w:t xml:space="preserve">4.3 Taxes.</w:t>
      </w:r>
      <w:r>
        <w:t xml:space="preserve"> </w:t>
      </w:r>
      <w:r>
        <w:t xml:space="preserve">Fees are exclusive of applicable taxes. Client is responsible for all taxes arising from the purchase of Services, excluding taxes on Vendor’s net income.</w:t>
      </w:r>
    </w:p>
    <w:p>
      <w:pPr>
        <w:pStyle w:val="BodyText"/>
      </w:pPr>
      <w:r>
        <w:rPr>
          <w:bCs/>
          <w:b/>
        </w:rPr>
        <w:t xml:space="preserve">4.4 Fee Increases.</w:t>
      </w:r>
      <w:r>
        <w:t xml:space="preserve"> </w:t>
      </w:r>
      <w:r>
        <w:t xml:space="preserve">Vendor may increase fees upon renewal by no more than five percent (5%) over the prior term’s fees, provided Vendor gives Client at least sixty (60) days’ written notice before the renewal date.</w:t>
      </w:r>
    </w:p>
    <w:p>
      <w:pPr>
        <w:pStyle w:val="BodyText"/>
      </w:pPr>
      <w:r>
        <w:rPr>
          <w:bCs/>
          <w:b/>
        </w:rPr>
        <w:t xml:space="preserve">4.5 Disputed Invoices.</w:t>
      </w:r>
      <w:r>
        <w:t xml:space="preserve"> </w:t>
      </w:r>
      <w:r>
        <w:t xml:space="preserve">If Client disputes any portion of an invoice in good faith, Client will: (a) pay the undisputed portion by the due date; (b) provide written notice of the disputed amount and the basis for the dispute within fifteen (15) days of the invoice date; and (c) cooperate with Vendor to resolve the dispute promptly.</w:t>
      </w:r>
    </w:p>
    <w:p>
      <w:r>
        <w:pict>
          <v:rect style="width:0;height:1.5pt" o:hralign="center" o:hrstd="t" o:hr="t"/>
        </w:pict>
      </w:r>
    </w:p>
    <w:bookmarkEnd w:id="23"/>
    <w:bookmarkStart w:id="24" w:name="term-and-termination"/>
    <w:p>
      <w:pPr>
        <w:pStyle w:val="Heading3"/>
      </w:pPr>
      <w:r>
        <w:t xml:space="preserve">5. TERM AND TERMINATION</w:t>
      </w:r>
    </w:p>
    <w:p>
      <w:pPr>
        <w:pStyle w:val="FirstParagraph"/>
      </w:pPr>
      <w:r>
        <w:rPr>
          <w:bCs/>
          <w:b/>
        </w:rPr>
        <w:t xml:space="preserve">5.1 Term.</w:t>
      </w:r>
      <w:r>
        <w:t xml:space="preserve"> </w:t>
      </w:r>
      <w:r>
        <w:t xml:space="preserve">This Agreement commences on the Effective Date and continues until all Order Forms have expired or been terminated. Each Order Form specifies its own subscription term, which renews automatically for successive one-year periods unless either party provides written notice of non-renewal at least sixty (60) days before the end of the then-current term.</w:t>
      </w:r>
    </w:p>
    <w:p>
      <w:pPr>
        <w:pStyle w:val="BodyText"/>
      </w:pPr>
      <w:r>
        <w:rPr>
          <w:bCs/>
          <w:b/>
        </w:rPr>
        <w:t xml:space="preserve">5.2 Termination for Cause.</w:t>
      </w:r>
      <w:r>
        <w:t xml:space="preserve"> </w:t>
      </w:r>
      <w:r>
        <w:t xml:space="preserve">Either party may terminate this Agreement or any Order Form upon written notice if the other party: (a) materially breaches this Agreement and fails to cure such breach within thirty (30) days of written notice describing the breach in reasonable detail; or (b) becomes insolvent, makes an assignment for the benefit of creditors, or has a receiver appointed.</w:t>
      </w:r>
    </w:p>
    <w:p>
      <w:pPr>
        <w:pStyle w:val="BodyText"/>
      </w:pPr>
      <w:r>
        <w:rPr>
          <w:bCs/>
          <w:b/>
        </w:rPr>
        <w:t xml:space="preserve">5.3 Effect of Termination.</w:t>
      </w:r>
      <w:r>
        <w:t xml:space="preserve"> </w:t>
      </w:r>
      <w:r>
        <w:t xml:space="preserve">Upon termination: (a) Client’s right to access the Services ceases immediately; (b) all outstanding fees become immediately due and payable; (c) Vendor will make Client Data available for export for thirty (30) days, after which Vendor may delete Client Data; and (d) each party will return or destroy the other party’s Confidential Information upon written request.</w:t>
      </w:r>
    </w:p>
    <w:p>
      <w:pPr>
        <w:pStyle w:val="BodyText"/>
      </w:pPr>
      <w:r>
        <w:rPr>
          <w:bCs/>
          <w:b/>
        </w:rPr>
        <w:t xml:space="preserve">5.4 Survival.</w:t>
      </w:r>
      <w:r>
        <w:t xml:space="preserve"> </w:t>
      </w:r>
      <w:r>
        <w:t xml:space="preserve">Sections 1, 4 (to the extent fees are outstanding), 6, 7, 8, 9, and 10 survive termination or expiry of this Agreement.</w:t>
      </w:r>
    </w:p>
    <w:p>
      <w:r>
        <w:pict>
          <v:rect style="width:0;height:1.5pt" o:hralign="center" o:hrstd="t" o:hr="t"/>
        </w:pict>
      </w:r>
    </w:p>
    <w:bookmarkEnd w:id="24"/>
    <w:bookmarkStart w:id="25" w:name="intellectual-property"/>
    <w:p>
      <w:pPr>
        <w:pStyle w:val="Heading3"/>
      </w:pPr>
      <w:r>
        <w:t xml:space="preserve">6. INTELLECTUAL PROPERTY</w:t>
      </w:r>
    </w:p>
    <w:p>
      <w:pPr>
        <w:pStyle w:val="FirstParagraph"/>
      </w:pPr>
      <w:r>
        <w:rPr>
          <w:bCs/>
          <w:b/>
        </w:rPr>
        <w:t xml:space="preserve">6.1 Vendor IP.</w:t>
      </w:r>
      <w:r>
        <w:t xml:space="preserve"> </w:t>
      </w:r>
      <w:r>
        <w:t xml:space="preserve">Vendor retains all Intellectual Property Rights in and to the Services, platform, Documentation, and any improvements, modifications, or derivative works thereof, including any custom features or configurations developed for Client.</w:t>
      </w:r>
    </w:p>
    <w:p>
      <w:pPr>
        <w:pStyle w:val="BodyText"/>
      </w:pPr>
      <w:r>
        <w:rPr>
          <w:bCs/>
          <w:b/>
        </w:rPr>
        <w:t xml:space="preserve">6.2 Client Data.</w:t>
      </w:r>
      <w:r>
        <w:t xml:space="preserve"> </w:t>
      </w:r>
      <w:r>
        <w:t xml:space="preserve">Client retains all rights in and to Client Data. Client grants Vendor a limited, non-exclusive licence to process Client Data solely to provide the Services.</w:t>
      </w:r>
    </w:p>
    <w:p>
      <w:pPr>
        <w:pStyle w:val="BodyText"/>
      </w:pPr>
      <w:r>
        <w:rPr>
          <w:bCs/>
          <w:b/>
        </w:rPr>
        <w:t xml:space="preserve">6.3 Feedback.</w:t>
      </w:r>
      <w:r>
        <w:t xml:space="preserve"> </w:t>
      </w:r>
      <w:r>
        <w:t xml:space="preserve">If Client provides suggestions or feedback regarding the Services, Vendor may use such feedback without restriction and without obligation to Client.</w:t>
      </w:r>
    </w:p>
    <w:p>
      <w:pPr>
        <w:pStyle w:val="BodyText"/>
      </w:pPr>
      <w:r>
        <w:rPr>
          <w:bCs/>
          <w:b/>
        </w:rPr>
        <w:t xml:space="preserve">6.4 Restrictions.</w:t>
      </w:r>
      <w:r>
        <w:t xml:space="preserve"> </w:t>
      </w:r>
      <w:r>
        <w:t xml:space="preserve">Nothing in this Agreement transfers ownership of any Intellectual Property Rights from one party to the other.</w:t>
      </w:r>
    </w:p>
    <w:p>
      <w:r>
        <w:pict>
          <v:rect style="width:0;height:1.5pt" o:hralign="center" o:hrstd="t" o:hr="t"/>
        </w:pict>
      </w:r>
    </w:p>
    <w:bookmarkEnd w:id="25"/>
    <w:bookmarkStart w:id="26" w:name="liability"/>
    <w:p>
      <w:pPr>
        <w:pStyle w:val="Heading3"/>
      </w:pPr>
      <w:r>
        <w:t xml:space="preserve">7. LIABILITY</w:t>
      </w:r>
    </w:p>
    <w:p>
      <w:pPr>
        <w:pStyle w:val="FirstParagraph"/>
      </w:pPr>
      <w:r>
        <w:rPr>
          <w:bCs/>
          <w:b/>
        </w:rPr>
        <w:t xml:space="preserve">7.1 Limitation of Liability.</w:t>
      </w:r>
      <w:r>
        <w:t xml:space="preserve"> </w:t>
      </w:r>
      <w:r>
        <w:t xml:space="preserve">To the maximum extent permitted by applicable law, each party’s total aggregate liability to the other party arising out of or related to this Agreement, whether in contract, tort, or otherwise, shall not exceed the total fees paid or payable by Client in the twelve (12) months immediately preceding the event giving rise to the claim.</w:t>
      </w:r>
    </w:p>
    <w:p>
      <w:pPr>
        <w:pStyle w:val="BodyText"/>
      </w:pPr>
      <w:r>
        <w:rPr>
          <w:bCs/>
          <w:b/>
        </w:rPr>
        <w:t xml:space="preserve">7.2 Exclusion of Consequential Damages.</w:t>
      </w:r>
      <w:r>
        <w:t xml:space="preserve"> </w:t>
      </w:r>
      <w:r>
        <w:t xml:space="preserve">Neither party shall be liable for any indirect, incidental, special, punitive, or consequential damages, including lost profits or loss of data, even if advised of the possibility of such damages.</w:t>
      </w:r>
    </w:p>
    <w:p>
      <w:pPr>
        <w:pStyle w:val="BodyText"/>
      </w:pPr>
      <w:r>
        <w:rPr>
          <w:bCs/>
          <w:b/>
        </w:rPr>
        <w:t xml:space="preserve">7.3 Essential Basis.</w:t>
      </w:r>
      <w:r>
        <w:t xml:space="preserve"> </w:t>
      </w:r>
      <w:r>
        <w:t xml:space="preserve">The parties acknowledge that the limitations in this Section 7 reflect a reasonable allocation of risk and are an essential basis of the bargain between the parties.</w:t>
      </w:r>
    </w:p>
    <w:p>
      <w:r>
        <w:pict>
          <v:rect style="width:0;height:1.5pt" o:hralign="center" o:hrstd="t" o:hr="t"/>
        </w:pict>
      </w:r>
    </w:p>
    <w:bookmarkEnd w:id="26"/>
    <w:bookmarkStart w:id="27" w:name="confidentiality"/>
    <w:p>
      <w:pPr>
        <w:pStyle w:val="Heading3"/>
      </w:pPr>
      <w:r>
        <w:t xml:space="preserve">8. CONFIDENTIALITY</w:t>
      </w:r>
    </w:p>
    <w:p>
      <w:pPr>
        <w:pStyle w:val="FirstParagraph"/>
      </w:pPr>
      <w:r>
        <w:rPr>
          <w:bCs/>
          <w:b/>
        </w:rPr>
        <w:t xml:space="preserve">8.1 Definition.</w:t>
      </w:r>
      <w:r>
        <w:t xml:space="preserve"> </w:t>
      </w:r>
      <w:r>
        <w:t xml:space="preserve">“</w:t>
      </w:r>
      <w:r>
        <w:t xml:space="preserve">Confidential Information</w:t>
      </w:r>
      <w:r>
        <w:t xml:space="preserve">”</w:t>
      </w:r>
      <w:r>
        <w:t xml:space="preserve"> </w:t>
      </w:r>
      <w:r>
        <w:t xml:space="preserve">means any non-public information disclosed by one party to the other that is designated as confidential or that reasonably should be understood to be confidential.</w:t>
      </w:r>
    </w:p>
    <w:p>
      <w:pPr>
        <w:pStyle w:val="BodyText"/>
      </w:pPr>
      <w:r>
        <w:rPr>
          <w:bCs/>
          <w:b/>
        </w:rPr>
        <w:t xml:space="preserve">8.2 Obligations.</w:t>
      </w:r>
      <w:r>
        <w:t xml:space="preserve"> </w:t>
      </w:r>
      <w:r>
        <w:t xml:space="preserve">Each party agrees to hold the other’s Confidential Information in confidence using at least the same care it uses for its own confidential information (no less than reasonable care), and to use it solely to exercise rights or fulfill obligations under this Agreement.</w:t>
      </w:r>
    </w:p>
    <w:p>
      <w:pPr>
        <w:pStyle w:val="BodyText"/>
      </w:pPr>
      <w:r>
        <w:rPr>
          <w:bCs/>
          <w:b/>
        </w:rPr>
        <w:t xml:space="preserve">8.3 Exceptions.</w:t>
      </w:r>
      <w:r>
        <w:t xml:space="preserve"> </w:t>
      </w:r>
      <w:r>
        <w:t xml:space="preserve">The obligations in Section 8.2 do not apply to information that: (a) becomes publicly available through no fault of the Receiving Party; (b) was known to the Receiving Party prior to disclosure; (c) is received from a third party without restriction; or (d) is independently developed without reference to the Confidential Information.</w:t>
      </w:r>
    </w:p>
    <w:p>
      <w:r>
        <w:pict>
          <v:rect style="width:0;height:1.5pt" o:hralign="center" o:hrstd="t" o:hr="t"/>
        </w:pict>
      </w:r>
    </w:p>
    <w:bookmarkEnd w:id="27"/>
    <w:bookmarkStart w:id="28" w:name="data-protection"/>
    <w:p>
      <w:pPr>
        <w:pStyle w:val="Heading3"/>
      </w:pPr>
      <w:r>
        <w:t xml:space="preserve">9. DATA PROTECTION</w:t>
      </w:r>
    </w:p>
    <w:p>
      <w:pPr>
        <w:pStyle w:val="FirstParagraph"/>
      </w:pPr>
      <w:r>
        <w:rPr>
          <w:bCs/>
          <w:b/>
        </w:rPr>
        <w:t xml:space="preserve">9.1 Data Processing.</w:t>
      </w:r>
      <w:r>
        <w:t xml:space="preserve"> </w:t>
      </w:r>
      <w:r>
        <w:t xml:space="preserve">To the extent Vendor processes personal information on behalf of Client, Vendor will: (a) process such data only in accordance with Client’s documented instructions; (b) implement appropriate technical and organizational security measures; and (c) notify Client promptly upon becoming aware of any unauthorized access to Client Data.</w:t>
      </w:r>
    </w:p>
    <w:p>
      <w:pPr>
        <w:pStyle w:val="BodyText"/>
      </w:pPr>
      <w:r>
        <w:rPr>
          <w:bCs/>
          <w:b/>
        </w:rPr>
        <w:t xml:space="preserve">9.2 Data Location.</w:t>
      </w:r>
      <w:r>
        <w:t xml:space="preserve"> </w:t>
      </w:r>
      <w:r>
        <w:t xml:space="preserve">Client Data will be stored and processed in Canada, unless otherwise agreed in writing.</w:t>
      </w:r>
    </w:p>
    <w:p>
      <w:pPr>
        <w:pStyle w:val="BodyText"/>
      </w:pPr>
      <w:r>
        <w:rPr>
          <w:bCs/>
          <w:b/>
        </w:rPr>
        <w:t xml:space="preserve">9.3 Compliance.</w:t>
      </w:r>
      <w:r>
        <w:t xml:space="preserve"> </w:t>
      </w:r>
      <w:r>
        <w:t xml:space="preserve">Each party is responsible for its own compliance with applicable privacy and data protection laws, including the Personal Information Protection and Electronic Documents Act (PIPEDA) and applicable provincial privacy legislation.</w:t>
      </w:r>
    </w:p>
    <w:p>
      <w:r>
        <w:pict>
          <v:rect style="width:0;height:1.5pt" o:hralign="center" o:hrstd="t" o:hr="t"/>
        </w:pict>
      </w:r>
    </w:p>
    <w:bookmarkEnd w:id="28"/>
    <w:bookmarkStart w:id="29" w:name="general"/>
    <w:p>
      <w:pPr>
        <w:pStyle w:val="Heading3"/>
      </w:pPr>
      <w:r>
        <w:t xml:space="preserve">10. GENERAL</w:t>
      </w:r>
    </w:p>
    <w:p>
      <w:pPr>
        <w:pStyle w:val="FirstParagraph"/>
      </w:pPr>
      <w:r>
        <w:rPr>
          <w:bCs/>
          <w:b/>
        </w:rPr>
        <w:t xml:space="preserve">10.1 Governing Law.</w:t>
      </w:r>
      <w:r>
        <w:t xml:space="preserve"> </w:t>
      </w:r>
      <w:r>
        <w:t xml:space="preserve">This Agreement is governed by the laws of the Province of Ontario and the federal laws of Canada applicable therein. Each party irrevocably submits to the exclusive jurisdiction of the courts of Ontario.</w:t>
      </w:r>
    </w:p>
    <w:p>
      <w:pPr>
        <w:pStyle w:val="BodyText"/>
      </w:pPr>
      <w:r>
        <w:rPr>
          <w:bCs/>
          <w:b/>
        </w:rPr>
        <w:t xml:space="preserve">10.2 Entire Agreement.</w:t>
      </w:r>
      <w:r>
        <w:t xml:space="preserve"> </w:t>
      </w:r>
      <w:r>
        <w:t xml:space="preserve">This Agreement, together with all Order Forms, constitutes the entire agreement between the parties and supersedes all prior negotiations, representations, and understandings relating to its subject matter.</w:t>
      </w:r>
    </w:p>
    <w:p>
      <w:pPr>
        <w:pStyle w:val="BodyText"/>
      </w:pPr>
      <w:r>
        <w:rPr>
          <w:bCs/>
          <w:b/>
        </w:rPr>
        <w:t xml:space="preserve">10.3 Order of Precedence.</w:t>
      </w:r>
      <w:r>
        <w:t xml:space="preserve"> </w:t>
      </w:r>
      <w:r>
        <w:t xml:space="preserve">In the event of a conflict between this Agreement and an Order Form, the Order Form prevails unless it expressly states otherwise.</w:t>
      </w:r>
    </w:p>
    <w:p>
      <w:pPr>
        <w:pStyle w:val="BodyText"/>
      </w:pPr>
      <w:r>
        <w:rPr>
          <w:bCs/>
          <w:b/>
        </w:rPr>
        <w:t xml:space="preserve">10.4 Amendments.</w:t>
      </w:r>
      <w:r>
        <w:t xml:space="preserve"> </w:t>
      </w:r>
      <w:r>
        <w:t xml:space="preserve">This Agreement may only be amended by a written instrument signed by authorized representatives of both parties.</w:t>
      </w:r>
    </w:p>
    <w:p>
      <w:pPr>
        <w:pStyle w:val="BodyText"/>
      </w:pPr>
      <w:r>
        <w:rPr>
          <w:bCs/>
          <w:b/>
        </w:rPr>
        <w:t xml:space="preserve">10.5 Assignment.</w:t>
      </w:r>
      <w:r>
        <w:t xml:space="preserve"> </w:t>
      </w:r>
      <w:r>
        <w:t xml:space="preserve">Neither party may assign this Agreement without the other party’s prior written consent, except that either party may assign this Agreement to a successor in connection with a merger, acquisition, or sale of all or substantially all of its assets, provided the successor assumes all obligations hereunder.</w:t>
      </w:r>
    </w:p>
    <w:p>
      <w:pPr>
        <w:pStyle w:val="BodyText"/>
      </w:pPr>
      <w:r>
        <w:rPr>
          <w:bCs/>
          <w:b/>
        </w:rPr>
        <w:t xml:space="preserve">10.6 Force Majeure.</w:t>
      </w:r>
      <w:r>
        <w:t xml:space="preserve"> </w:t>
      </w:r>
      <w:r>
        <w:t xml:space="preserve">Neither party is liable for delays or failures in performance caused by circumstances beyond its reasonable control.</w:t>
      </w:r>
    </w:p>
    <w:p>
      <w:pPr>
        <w:pStyle w:val="BodyText"/>
      </w:pPr>
      <w:r>
        <w:rPr>
          <w:bCs/>
          <w:b/>
        </w:rPr>
        <w:t xml:space="preserve">10.7 Severability.</w:t>
      </w:r>
      <w:r>
        <w:t xml:space="preserve"> </w:t>
      </w:r>
      <w:r>
        <w:t xml:space="preserve">If any provision of this Agreement is held invalid or unenforceable, the remaining provisions continue in full force.</w:t>
      </w:r>
    </w:p>
    <w:p>
      <w:pPr>
        <w:pStyle w:val="BodyText"/>
      </w:pPr>
      <w:r>
        <w:rPr>
          <w:bCs/>
          <w:b/>
        </w:rPr>
        <w:t xml:space="preserve">10.8 Counterparts.</w:t>
      </w:r>
      <w:r>
        <w:t xml:space="preserve"> </w:t>
      </w:r>
      <w:r>
        <w:t xml:space="preserve">This Agreement may be executed in counterparts, including by electronic signature, each of which is deemed an original.</w:t>
      </w:r>
    </w:p>
    <w:p>
      <w:r>
        <w:pict>
          <v:rect style="width:0;height:1.5pt" o:hralign="center" o:hrstd="t" o:hr="t"/>
        </w:pict>
      </w:r>
    </w:p>
    <w:bookmarkEnd w:id="29"/>
    <w:bookmarkStart w:id="30" w:name="signatures"/>
    <w:p>
      <w:pPr>
        <w:pStyle w:val="Heading3"/>
      </w:pPr>
      <w:r>
        <w:t xml:space="preserve">SIGNATURES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Dunder AI Inc.</w:t>
            </w:r>
          </w:p>
        </w:tc>
        <w:tc>
          <w:tcPr/>
          <w:p>
            <w:pPr>
              <w:pStyle w:val="Compact"/>
              <w:jc w:val="left"/>
            </w:pPr>
            <w:r>
              <w:rPr>
                <w:bCs/>
                <w:b/>
              </w:rPr>
              <w:t xml:space="preserve">Initech Financial Group Inc.</w:t>
            </w:r>
          </w:p>
        </w:tc>
      </w:tr>
      <w:tr>
        <w:tc>
          <w:tcPr/>
          <w:p>
            <w:pPr>
              <w:pStyle w:val="Compact"/>
              <w:jc w:val="left"/>
            </w:pPr>
            <w:r>
              <w:t xml:space="preserve">Signature: ___________________</w:t>
            </w:r>
          </w:p>
        </w:tc>
        <w:tc>
          <w:tcPr/>
          <w:p>
            <w:pPr>
              <w:pStyle w:val="Compact"/>
              <w:jc w:val="left"/>
            </w:pPr>
            <w:r>
              <w:t xml:space="preserve">Signature: ___________________</w:t>
            </w:r>
          </w:p>
        </w:tc>
      </w:tr>
      <w:tr>
        <w:tc>
          <w:tcPr/>
          <w:p>
            <w:pPr>
              <w:pStyle w:val="Compact"/>
              <w:jc w:val="left"/>
            </w:pPr>
            <w:r>
              <w:t xml:space="preserve">Name: ___________________</w:t>
            </w:r>
          </w:p>
        </w:tc>
        <w:tc>
          <w:tcPr/>
          <w:p>
            <w:pPr>
              <w:pStyle w:val="Compact"/>
              <w:jc w:val="left"/>
            </w:pPr>
            <w:r>
              <w:t xml:space="preserve">Name: ___________________</w:t>
            </w:r>
          </w:p>
        </w:tc>
      </w:tr>
      <w:tr>
        <w:tc>
          <w:tcPr/>
          <w:p>
            <w:pPr>
              <w:pStyle w:val="Compact"/>
              <w:jc w:val="left"/>
            </w:pPr>
            <w:r>
              <w:t xml:space="preserve">Title: ___________________</w:t>
            </w:r>
          </w:p>
        </w:tc>
        <w:tc>
          <w:tcPr/>
          <w:p>
            <w:pPr>
              <w:pStyle w:val="Compact"/>
              <w:jc w:val="left"/>
            </w:pPr>
            <w:r>
              <w:t xml:space="preserve">Title: ___________________</w:t>
            </w:r>
          </w:p>
        </w:tc>
      </w:tr>
      <w:tr>
        <w:tc>
          <w:tcPr/>
          <w:p>
            <w:pPr>
              <w:pStyle w:val="Compact"/>
              <w:jc w:val="left"/>
            </w:pPr>
            <w:r>
              <w:t xml:space="preserve">Date: ___________________</w:t>
            </w:r>
          </w:p>
        </w:tc>
        <w:tc>
          <w:tcPr/>
          <w:p>
            <w:pPr>
              <w:pStyle w:val="Compact"/>
              <w:jc w:val="left"/>
            </w:pPr>
            <w:r>
              <w:t xml:space="preserve">Date: ___________________</w:t>
            </w:r>
          </w:p>
        </w:tc>
      </w:tr>
    </w:tbl>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2026-05-06T15:48:50Z</dcterms:created>
  <dcterms:modified xsi:type="dcterms:W3CDTF">2026-05-06T15:48:50Z</dcterms:modified>
</cp:coreProperties>
</file>

<file path=docProps/custom.xml><?xml version="1.0" encoding="utf-8"?>
<Properties xmlns="http://schemas.openxmlformats.org/officeDocument/2006/custom-properties" xmlns:vt="http://schemas.openxmlformats.org/officeDocument/2006/docPropsVTypes"/>
</file>