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ackathon-scenario-context"/>
    <w:p>
      <w:pPr>
        <w:pStyle w:val="Heading1"/>
      </w:pPr>
      <w:r>
        <w:t xml:space="preserve">Hackathon Scenario Context</w:t>
      </w:r>
    </w:p>
    <w:p>
      <w:pPr>
        <w:pStyle w:val="FirstParagraph"/>
      </w:pPr>
      <w:r>
        <w:rPr>
          <w:bCs/>
          <w:b/>
        </w:rPr>
        <w:t xml:space="preserve">Dunder AI Inc. &amp; Initech Financial Group Inc.</w:t>
      </w:r>
    </w:p>
    <w:p>
      <w:pPr>
        <w:pStyle w:val="BodyText"/>
      </w:pPr>
      <w:r>
        <w:rPr>
          <w:iCs/>
          <w:i/>
        </w:rPr>
        <w:t xml:space="preserve">This file provides background for the hackathon challenge. It is not part of any contract.</w:t>
      </w:r>
    </w:p>
    <w:p>
      <w:r>
        <w:pict>
          <v:rect style="width:0;height:1.5pt" o:hralign="center" o:hrstd="t" o:hr="t"/>
        </w:pict>
      </w:r>
    </w:p>
    <w:bookmarkStart w:id="20" w:name="the-companies"/>
    <w:p>
      <w:pPr>
        <w:pStyle w:val="Heading2"/>
      </w:pPr>
      <w:r>
        <w:t xml:space="preserve">The Companies</w:t>
      </w:r>
    </w:p>
    <w:p>
      <w:pPr>
        <w:pStyle w:val="FirstParagraph"/>
      </w:pPr>
      <w:r>
        <w:rPr>
          <w:bCs/>
          <w:b/>
        </w:rPr>
        <w:t xml:space="preserve">Dunder AI Inc.</w:t>
      </w:r>
      <w:r>
        <w:t xml:space="preserve"> </w:t>
      </w:r>
      <w:r>
        <w:t xml:space="preserve">is an 18-month-old Toronto startup with an AI-powered contract review platform. They have a handful of mid-market clients but no enterprise logos yet. They are founder-led, lightly capitalized, and their legal documents are drafted to minimize exposure — low liability caps, IP firmly retained, no audit rights, auto-renewal built in.</w:t>
      </w:r>
    </w:p>
    <w:p>
      <w:pPr>
        <w:pStyle w:val="BodyText"/>
      </w:pPr>
      <w:r>
        <w:rPr>
          <w:bCs/>
          <w:b/>
        </w:rPr>
        <w:t xml:space="preserve">Initech Financial Group Inc.</w:t>
      </w:r>
      <w:r>
        <w:t xml:space="preserve"> </w:t>
      </w:r>
      <w:r>
        <w:t xml:space="preserve">is a large Canadian financial institution headquartered in Toronto. They are subject to OSFI (Office of the Superintendent of Financial Institutions) oversight, which imposes strict third-party risk management requirements on any vendor handling their data. Their legal team is experienced, well-resourced, and accustomed to dictating terms to vendors.</w:t>
      </w:r>
    </w:p>
    <w:p>
      <w:r>
        <w:pict>
          <v:rect style="width:0;height:1.5pt" o:hralign="center" o:hrstd="t" o:hr="t"/>
        </w:pict>
      </w:r>
    </w:p>
    <w:bookmarkEnd w:id="20"/>
    <w:bookmarkStart w:id="21" w:name="the-deal"/>
    <w:p>
      <w:pPr>
        <w:pStyle w:val="Heading2"/>
      </w:pPr>
      <w:r>
        <w:t xml:space="preserve">The Deal</w:t>
      </w:r>
    </w:p>
    <w:p>
      <w:pPr>
        <w:pStyle w:val="FirstParagraph"/>
      </w:pPr>
      <w:r>
        <w:t xml:space="preserve">Initech has been evaluating Dunder AI’s platform for 6 weeks. It passed Initech’s security review. The commercial teams have agreed on pricing:</w:t>
      </w:r>
      <w:r>
        <w:t xml:space="preserve"> </w:t>
      </w:r>
      <w:r>
        <w:rPr>
          <w:bCs/>
          <w:b/>
        </w:rPr>
        <w:t xml:space="preserve">$180K CAD ARR</w:t>
      </w:r>
      <w:r>
        <w:t xml:space="preserve"> </w:t>
      </w:r>
      <w:r>
        <w:t xml:space="preserve">for a 2-year initial term. This would be Dunder AI’s first enterprise logo and their largest deal by 3x — material enough that walking away is not a real option.</w:t>
      </w:r>
    </w:p>
    <w:p>
      <w:pPr>
        <w:pStyle w:val="BodyText"/>
      </w:pPr>
      <w:r>
        <w:t xml:space="preserve">The deal started with an NDA (as it always does) and has now progressed to an MSA. Both documents have been redlined by Initech’s legal team.</w:t>
      </w:r>
    </w:p>
    <w:p>
      <w:r>
        <w:pict>
          <v:rect style="width:0;height:1.5pt" o:hralign="center" o:hrstd="t" o:hr="t"/>
        </w:pict>
      </w:r>
    </w:p>
    <w:bookmarkEnd w:id="21"/>
    <w:bookmarkStart w:id="22" w:name="the-files"/>
    <w:p>
      <w:pPr>
        <w:pStyle w:val="Heading2"/>
      </w:pPr>
      <w:r>
        <w:t xml:space="preserve">The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nda_dunder_original.md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Dunder AI’s proposed NDA — mutual, balanced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nda_initech_redlines.md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Initech’s redlined NDA — converted to one-way, broader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msa_dunder_original.md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Dunder AI’s proposed MSA — founder-friendly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msa_initech_redlines.md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Initech’s redlined MSA — enterprise-heavy, several existential 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key-tensions"/>
    <w:p>
      <w:pPr>
        <w:pStyle w:val="Heading2"/>
      </w:pPr>
      <w:r>
        <w:t xml:space="preserve">Key Tensions</w:t>
      </w:r>
    </w:p>
    <w:bookmarkStart w:id="23" w:name="nda"/>
    <w:p>
      <w:pPr>
        <w:pStyle w:val="Heading3"/>
      </w:pPr>
      <w:r>
        <w:t xml:space="preserve">NDA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Dunder AI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Initech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— both parties share confidential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— only Initech is a disclosing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that</w:t>
            </w:r>
            <w:r>
              <w:t xml:space="preserve"> </w:t>
            </w:r>
            <w:r>
              <w:t xml:space="preserve">“</w:t>
            </w:r>
            <w:r>
              <w:t xml:space="preserve">reasonably should be understood</w:t>
            </w:r>
            <w:r>
              <w:t xml:space="preserve">”</w:t>
            </w:r>
            <w:r>
              <w:t xml:space="preserve"> </w:t>
            </w:r>
            <w:r>
              <w:t xml:space="preserve">as 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Everything, regardless of marking, including verbal disclosures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Injunctive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Disclosing party must post bond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bond required for Initech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+ 2 year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+ 5 year survival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party on 30 days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Initech at will; Dunder AI on 90 days notice</w:t>
            </w:r>
          </w:p>
        </w:tc>
      </w:tr>
    </w:tbl>
    <w:bookmarkEnd w:id="23"/>
    <w:bookmarkStart w:id="24" w:name="msa"/>
    <w:p>
      <w:pPr>
        <w:pStyle w:val="Heading3"/>
      </w:pPr>
      <w:r>
        <w:t xml:space="preserve">MSA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Dunder AI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Initech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99.5%, maintenance on 48h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99.9%, maintenance outside business hours, 10 business days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hours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24/7/365 with hourly SLAs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of fees, all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for commercial disputes;</w:t>
            </w:r>
            <w:r>
              <w:t xml:space="preserve"> </w:t>
            </w:r>
            <w:r>
              <w:rPr>
                <w:bCs/>
                <w:b/>
              </w:rPr>
              <w:t xml:space="preserve">uncapped for data breaches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does not apply to data breach or gross negligence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retains everything, including custom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owns anything custom-built and funded by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can use freely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cannot use to build features for other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30, 18% annual interest on late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60, 6% annual interest; Client may withhold full invoice in 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increases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5% on renewal, 60 days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3% on renewal, 90 days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only, 30-day cure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Convenience termination for Client on 30 days; 15-day cure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Twice per year, 48 hours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Ontario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cyber liability, $5M E&amp;O, $5M CGL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Step-in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may assume control of Services if Vendor fails to perform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what-makes-this-hard-for-dunder-ai"/>
    <w:p>
      <w:pPr>
        <w:pStyle w:val="Heading2"/>
      </w:pPr>
      <w:r>
        <w:t xml:space="preserve">What Makes This Hard for Dunder AI</w:t>
      </w:r>
    </w:p>
    <w:p>
      <w:pPr>
        <w:pStyle w:val="FirstParagraph"/>
      </w:pPr>
      <w:r>
        <w:t xml:space="preserve">Most of Initech’s asks are individually justifiable — they are a regulated financial institution with real compliance obligations. But taken together, they shift virtually all commercial and operational risk onto a startup that:</w:t>
      </w:r>
    </w:p>
    <w:p>
      <w:pPr>
        <w:numPr>
          <w:ilvl w:val="0"/>
          <w:numId w:val="1001"/>
        </w:numPr>
        <w:pStyle w:val="Compact"/>
      </w:pPr>
      <w:r>
        <w:t xml:space="preserve">Cannot afford to be uncapped on data breach liability</w:t>
      </w:r>
    </w:p>
    <w:p>
      <w:pPr>
        <w:numPr>
          <w:ilvl w:val="0"/>
          <w:numId w:val="1001"/>
        </w:numPr>
        <w:pStyle w:val="Compact"/>
      </w:pPr>
      <w:r>
        <w:t xml:space="preserve">Has no 24/7 support infrastructure</w:t>
      </w:r>
    </w:p>
    <w:p>
      <w:pPr>
        <w:numPr>
          <w:ilvl w:val="0"/>
          <w:numId w:val="1001"/>
        </w:numPr>
        <w:pStyle w:val="Compact"/>
      </w:pPr>
      <w:r>
        <w:t xml:space="preserve">Cannot give away IP ownership of custom development without gutting their roadmap</w:t>
      </w:r>
    </w:p>
    <w:p>
      <w:pPr>
        <w:numPr>
          <w:ilvl w:val="0"/>
          <w:numId w:val="1001"/>
        </w:numPr>
        <w:pStyle w:val="Compact"/>
      </w:pPr>
      <w:r>
        <w:t xml:space="preserve">Cannot survive a convenience termination clause that lets Initech walk at any time penalty-free</w:t>
      </w:r>
    </w:p>
    <w:p>
      <w:pPr>
        <w:pStyle w:val="FirstParagraph"/>
      </w:pPr>
      <w:r>
        <w:t xml:space="preserve">The interesting negotiation question is not</w:t>
      </w:r>
      <w:r>
        <w:t xml:space="preserve"> </w:t>
      </w:r>
      <w:r>
        <w:t xml:space="preserve">“</w:t>
      </w:r>
      <w:r>
        <w:t xml:space="preserve">which party is right</w:t>
      </w:r>
      <w:r>
        <w:t xml:space="preserve">”</w:t>
      </w:r>
      <w:r>
        <w:t xml:space="preserve"> </w:t>
      </w:r>
      <w:r>
        <w:t xml:space="preserve">— it’s</w:t>
      </w:r>
      <w:r>
        <w:t xml:space="preserve"> </w:t>
      </w:r>
      <w:r>
        <w:rPr>
          <w:bCs/>
          <w:b/>
        </w:rPr>
        <w:t xml:space="preserve">which issues are worth fighting for, which can be conceded, and how to frame each position in a way that keeps the deal alive.</w:t>
      </w:r>
    </w:p>
    <w:p>
      <w:r>
        <w:pict>
          <v:rect style="width:0;height:1.5pt" o:hralign="center" o:hrstd="t" o:hr="t"/>
        </w:pict>
      </w:r>
    </w:p>
    <w:bookmarkEnd w:id="26"/>
    <w:bookmarkStart w:id="27" w:name="notes-for-participants"/>
    <w:p>
      <w:pPr>
        <w:pStyle w:val="Heading2"/>
      </w:pPr>
      <w:r>
        <w:t xml:space="preserve">Notes for Participants</w:t>
      </w:r>
    </w:p>
    <w:p>
      <w:pPr>
        <w:numPr>
          <w:ilvl w:val="0"/>
          <w:numId w:val="1002"/>
        </w:numPr>
        <w:pStyle w:val="Compact"/>
      </w:pPr>
      <w:r>
        <w:t xml:space="preserve">The redline format uses</w:t>
      </w:r>
      <w:r>
        <w:t xml:space="preserve"> </w:t>
      </w:r>
      <w:r>
        <w:rPr>
          <w:rStyle w:val="VerbatimChar"/>
        </w:rPr>
        <w:t xml:space="preserve">~~strikethrough~~</w:t>
      </w:r>
      <w:r>
        <w:t xml:space="preserve"> </w:t>
      </w:r>
      <w:r>
        <w:t xml:space="preserve">for deletions and</w:t>
      </w:r>
      <w:r>
        <w:t xml:space="preserve"> </w:t>
      </w:r>
      <w:r>
        <w:rPr>
          <w:rStyle w:val="VerbatimChar"/>
        </w:rPr>
        <w:t xml:space="preserve">**[INITECH ADD: text]**</w:t>
      </w:r>
      <w:r>
        <w:t xml:space="preserve"> </w:t>
      </w:r>
      <w:r>
        <w:t xml:space="preserve">for additions.</w:t>
      </w:r>
    </w:p>
    <w:p>
      <w:pPr>
        <w:numPr>
          <w:ilvl w:val="0"/>
          <w:numId w:val="1002"/>
        </w:numPr>
        <w:pStyle w:val="Compact"/>
      </w:pPr>
      <w:r>
        <w:t xml:space="preserve">Initech’s internal comments are marked</w:t>
      </w:r>
      <w:r>
        <w:t xml:space="preserve"> </w:t>
      </w:r>
      <w:r>
        <w:rPr>
          <w:rStyle w:val="VerbatimChar"/>
        </w:rPr>
        <w:t xml:space="preserve">*[INITECH COMMENT: ...]*</w:t>
      </w:r>
      <w:r>
        <w:t xml:space="preserve"> </w:t>
      </w:r>
      <w:r>
        <w:t xml:space="preserve">— these are visible to participants to simulate having context on the other side’s reasoning.</w:t>
      </w:r>
    </w:p>
    <w:p>
      <w:pPr>
        <w:numPr>
          <w:ilvl w:val="0"/>
          <w:numId w:val="1002"/>
        </w:numPr>
        <w:pStyle w:val="Compact"/>
      </w:pPr>
      <w:r>
        <w:t xml:space="preserve">The contracts are realistic but simplified for readability. Some standard boilerplate (schedules, order form templates) has been omitted.</w:t>
      </w:r>
    </w:p>
    <w:p>
      <w:pPr>
        <w:numPr>
          <w:ilvl w:val="0"/>
          <w:numId w:val="1002"/>
        </w:numPr>
        <w:pStyle w:val="Compact"/>
      </w:pPr>
      <w:r>
        <w:t xml:space="preserve">Spellbook trial access is available at [link to be added] — you can use it to explore what a production contract review tool looks like, or build on top of it.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2026-05-06T15:48:50Z</dcterms:created>
  <dcterms:modified xsi:type="dcterms:W3CDTF">2026-05-06T15:48:50Z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