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Override ContentType="application/vnd.openxmlformats-officedocument.wordprocessingml.header+xml" PartName="/word/header2.xml"/>
  <Override ContentType="application/vnd.openxmlformats-officedocument.wordprocessingml.footer+xml" PartName="/word/footer2.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before="0"/>
        <w:jc w:val="center"/>
      </w:pPr>
      <w:r>
        <w:rPr>
          <w:rFonts w:ascii="Times New Roman" w:cs="Times New Roman" w:eastAsia="Times New Roman" w:hAnsi="Times New Roman"/>
          <w:b/>
          <w:bCs/>
          <w:sz w:val="28"/>
          <w:szCs w:val="28"/>
        </w:rPr>
        <w:t xml:space="preserve">DUNDER AI INC. &amp; INITECH FINANCIAL GROUP INC.</w:t>
      </w:r>
    </w:p>
    <w:p>
      <w:pPr>
        <w:spacing w:after="240" w:before="0"/>
        <w:jc w:val="center"/>
      </w:pPr>
      <w:r>
        <w:rPr>
          <w:rFonts w:ascii="Times New Roman" w:cs="Times New Roman" w:eastAsia="Times New Roman" w:hAnsi="Times New Roman"/>
          <w:b/>
          <w:bCs/>
          <w:sz w:val="26"/>
          <w:szCs w:val="26"/>
        </w:rPr>
        <w:t xml:space="preserve">ONE-WAY NON-DISCLOSURE AGREEMENT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1F3864" w:sz="6"/>
              <w:left w:val="single" w:color="1F3864" w:sz="6"/>
              <w:bottom w:val="single" w:color="1F3864" w:sz="6"/>
              <w:right w:val="single" w:color="1F3864" w:sz="6"/>
            </w:tcBorders>
            <w:shd w:fill="EEF2F7" w:val="clear"/>
            <w:tcMar>
              <w:top w:type="dxa" w:w="160"/>
              <w:left w:type="dxa" w:w="240"/>
              <w:bottom w:type="dxa" w:w="160"/>
              <w:right w:type="dxa" w:w="240"/>
            </w:tcMar>
          </w:tcPr>
          <w:p>
            <w:pPr>
              <w:spacing w:after="40" w:before="40"/>
            </w:pPr>
            <w:r>
              <w:rPr>
                <w:rFonts w:ascii="Times New Roman" w:cs="Times New Roman" w:eastAsia="Times New Roman" w:hAnsi="Times New Roman"/>
                <w:i/>
                <w:iCs/>
                <w:color w:val="4A4A4A"/>
                <w:sz w:val="18"/>
                <w:szCs w:val="18"/>
              </w:rPr>
              <w:t xml:space="preserve">Preliminary Note. This One-Way Non-Disclosure Agreement governs the disclosure of confidential</w:t>
            </w:r>
          </w:p>
          <w:p>
            <w:pPr>
              <w:spacing w:after="40" w:before="40"/>
            </w:pPr>
            <w:r>
              <w:rPr>
                <w:rFonts w:ascii="Times New Roman" w:cs="Times New Roman" w:eastAsia="Times New Roman" w:hAnsi="Times New Roman"/>
                <w:i/>
                <w:iCs/>
                <w:color w:val="4A4A4A"/>
                <w:sz w:val="18"/>
                <w:szCs w:val="18"/>
              </w:rPr>
              <w:t xml:space="preserve">information by Initech Financial Group Inc. to Dunder AI Inc. in connection with the evaluation of</w:t>
            </w:r>
          </w:p>
          <w:p>
            <w:pPr>
              <w:spacing w:after="40" w:before="40"/>
            </w:pPr>
            <w:r>
              <w:rPr>
                <w:rFonts w:ascii="Times New Roman" w:cs="Times New Roman" w:eastAsia="Times New Roman" w:hAnsi="Times New Roman"/>
                <w:i/>
                <w:iCs/>
                <w:color w:val="4A4A4A"/>
                <w:sz w:val="18"/>
                <w:szCs w:val="18"/>
              </w:rPr>
              <w:t xml:space="preserve">Dunder AI's contract review platform. Unlike a mutual NDA, only Initech acts as Disclosing Party.</w:t>
            </w:r>
          </w:p>
          <w:p>
            <w:pPr>
              <w:spacing w:after="40" w:before="40"/>
            </w:pPr>
            <w:r>
              <w:rPr>
                <w:rFonts w:ascii="Times New Roman" w:cs="Times New Roman" w:eastAsia="Times New Roman" w:hAnsi="Times New Roman"/>
                <w:i/>
                <w:iCs/>
                <w:color w:val="4A4A4A"/>
                <w:sz w:val="18"/>
                <w:szCs w:val="18"/>
              </w:rPr>
              <w:t xml:space="preserve">Key negotiated terms include a three-year term with five-year survival, full-time employee restriction</w:t>
            </w:r>
          </w:p>
          <w:p>
            <w:pPr>
              <w:spacing w:after="40" w:before="40"/>
            </w:pPr>
            <w:r>
              <w:rPr>
                <w:rFonts w:ascii="Times New Roman" w:cs="Times New Roman" w:eastAsia="Times New Roman" w:hAnsi="Times New Roman"/>
                <w:i/>
                <w:iCs/>
                <w:color w:val="4A4A4A"/>
                <w:sz w:val="18"/>
                <w:szCs w:val="18"/>
              </w:rPr>
              <w:t xml:space="preserve">on permitted disclosures, audit rights reflecting OSFI third-party risk requirements, and asymmetric</w:t>
            </w:r>
          </w:p>
          <w:p>
            <w:pPr>
              <w:spacing w:after="40" w:before="40"/>
            </w:pPr>
            <w:r>
              <w:rPr>
                <w:rFonts w:ascii="Times New Roman" w:cs="Times New Roman" w:eastAsia="Times New Roman" w:hAnsi="Times New Roman"/>
                <w:i/>
                <w:iCs/>
                <w:color w:val="4A4A4A"/>
                <w:sz w:val="18"/>
                <w:szCs w:val="18"/>
              </w:rPr>
              <w:t xml:space="preserve">termination notice periods. This document should not be construed as legal advice.</w:t>
            </w:r>
          </w:p>
        </w:tc>
      </w:tr>
    </w:tbl>
    <w:p>
      <w:pPr>
        <w:spacing w:after="0" w:before="0"/>
      </w:pPr>
      <w:r>
        <w:rPr>
          <w:rFonts w:ascii="Times New Roman" w:cs="Times New Roman" w:eastAsia="Times New Roman" w:hAnsi="Times New Roman"/>
          <w:sz w:val="20"/>
          <w:szCs w:val="20"/>
        </w:rPr>
        <w:t xml:space="preserve"/>
      </w:r>
    </w:p>
    <w:p>
      <w:pPr>
        <w:spacing w:after="80" w:before="80" w:line="276"/>
      </w:pPr>
      <w:r>
        <w:rPr>
          <w:rFonts w:ascii="Times New Roman" w:cs="Times New Roman" w:eastAsia="Times New Roman" w:hAnsi="Times New Roman"/>
          <w:b/>
          <w:bCs/>
          <w:sz w:val="20"/>
          <w:szCs w:val="20"/>
        </w:rPr>
        <w:t xml:space="preserve">This One-Way Non-Disclosure Agreement </w:t>
      </w:r>
      <w:r>
        <w:rPr>
          <w:rFonts w:ascii="Times New Roman" w:cs="Times New Roman" w:eastAsia="Times New Roman" w:hAnsi="Times New Roman"/>
          <w:sz w:val="20"/>
          <w:szCs w:val="20"/>
        </w:rPr>
        <w:t xml:space="preserve">(the </w:t>
      </w:r>
      <w:r>
        <w:rPr>
          <w:rFonts w:ascii="Times New Roman" w:cs="Times New Roman" w:eastAsia="Times New Roman" w:hAnsi="Times New Roman"/>
          <w:b/>
          <w:bCs/>
          <w:sz w:val="20"/>
          <w:szCs w:val="20"/>
        </w:rPr>
        <w:t xml:space="preserve">"Agreement"</w:t>
      </w:r>
      <w:r>
        <w:rPr>
          <w:rFonts w:ascii="Times New Roman" w:cs="Times New Roman" w:eastAsia="Times New Roman" w:hAnsi="Times New Roman"/>
          <w:sz w:val="20"/>
          <w:szCs w:val="20"/>
        </w:rPr>
        <w:t xml:space="preserve">) is entered into as of the date last signed below (the </w:t>
      </w:r>
      <w:r>
        <w:rPr>
          <w:rFonts w:ascii="Times New Roman" w:cs="Times New Roman" w:eastAsia="Times New Roman" w:hAnsi="Times New Roman"/>
          <w:b/>
          <w:bCs/>
          <w:sz w:val="20"/>
          <w:szCs w:val="20"/>
        </w:rPr>
        <w:t xml:space="preserve">"Effective Date"</w:t>
      </w:r>
      <w:r>
        <w:rPr>
          <w:rFonts w:ascii="Times New Roman" w:cs="Times New Roman" w:eastAsia="Times New Roman" w:hAnsi="Times New Roman"/>
          <w:sz w:val="20"/>
          <w:szCs w:val="20"/>
        </w:rPr>
        <w:t xml:space="preserve">) between:</w:t>
      </w:r>
    </w:p>
    <w:p>
      <w:pPr>
        <w:spacing w:after="0" w:before="0"/>
      </w:pPr>
      <w:r>
        <w:rPr>
          <w:rFonts w:ascii="Times New Roman" w:cs="Times New Roman" w:eastAsia="Times New Roman" w:hAnsi="Times New Roman"/>
          <w:sz w:val="20"/>
          <w:szCs w:val="20"/>
        </w:rPr>
        <w:t xml:space="preserve"/>
      </w:r>
    </w:p>
    <w:p>
      <w:pPr>
        <w:spacing w:after="80" w:before="80" w:line="276"/>
      </w:pPr>
      <w:r>
        <w:rPr>
          <w:rFonts w:ascii="Times New Roman" w:cs="Times New Roman" w:eastAsia="Times New Roman" w:hAnsi="Times New Roman"/>
          <w:b/>
          <w:bCs/>
          <w:sz w:val="20"/>
          <w:szCs w:val="20"/>
        </w:rPr>
        <w:t xml:space="preserve">Dunder AI Inc.</w:t>
      </w:r>
      <w:r>
        <w:rPr>
          <w:rFonts w:ascii="Times New Roman" w:cs="Times New Roman" w:eastAsia="Times New Roman" w:hAnsi="Times New Roman"/>
          <w:sz w:val="20"/>
          <w:szCs w:val="20"/>
        </w:rPr>
        <w:t xml:space="preserve">, a corporation incorporated under the laws of Ontario, with its principal place of business at 200 King Street West, Suite 400, Toronto, Ontario M5H 3T4 (</w:t>
      </w:r>
      <w:r>
        <w:rPr>
          <w:rFonts w:ascii="Times New Roman" w:cs="Times New Roman" w:eastAsia="Times New Roman" w:hAnsi="Times New Roman"/>
          <w:b/>
          <w:bCs/>
          <w:sz w:val="20"/>
          <w:szCs w:val="20"/>
        </w:rPr>
        <w:t xml:space="preserve">"Vendor"</w:t>
      </w:r>
      <w:r>
        <w:rPr>
          <w:rFonts w:ascii="Times New Roman" w:cs="Times New Roman" w:eastAsia="Times New Roman" w:hAnsi="Times New Roman"/>
          <w:sz w:val="20"/>
          <w:szCs w:val="20"/>
        </w:rPr>
        <w:t xml:space="preserve">); and</w:t>
      </w:r>
    </w:p>
    <w:p>
      <w:pPr>
        <w:spacing w:after="0" w:before="0"/>
      </w:pPr>
      <w:r>
        <w:rPr>
          <w:rFonts w:ascii="Times New Roman" w:cs="Times New Roman" w:eastAsia="Times New Roman" w:hAnsi="Times New Roman"/>
          <w:sz w:val="20"/>
          <w:szCs w:val="20"/>
        </w:rPr>
        <w:t xml:space="preserve"/>
      </w:r>
    </w:p>
    <w:p>
      <w:pPr>
        <w:spacing w:after="80" w:before="80" w:line="276"/>
      </w:pPr>
      <w:r>
        <w:rPr>
          <w:rFonts w:ascii="Times New Roman" w:cs="Times New Roman" w:eastAsia="Times New Roman" w:hAnsi="Times New Roman"/>
          <w:b/>
          <w:bCs/>
          <w:sz w:val="20"/>
          <w:szCs w:val="20"/>
        </w:rPr>
        <w:t xml:space="preserve">Initech Financial Group Inc.</w:t>
      </w:r>
      <w:r>
        <w:rPr>
          <w:rFonts w:ascii="Times New Roman" w:cs="Times New Roman" w:eastAsia="Times New Roman" w:hAnsi="Times New Roman"/>
          <w:sz w:val="20"/>
          <w:szCs w:val="20"/>
        </w:rPr>
        <w:t xml:space="preserve">, a corporation incorporated under the laws of Ontario, with its principal place of business at 100 Wellington Street West, Toronto, Ontario M5K 1J3 (</w:t>
      </w:r>
      <w:r>
        <w:rPr>
          <w:rFonts w:ascii="Times New Roman" w:cs="Times New Roman" w:eastAsia="Times New Roman" w:hAnsi="Times New Roman"/>
          <w:b/>
          <w:bCs/>
          <w:sz w:val="20"/>
          <w:szCs w:val="20"/>
        </w:rPr>
        <w:t xml:space="preserve">"Initech"</w:t>
      </w:r>
      <w:r>
        <w:rPr>
          <w:rFonts w:ascii="Times New Roman" w:cs="Times New Roman" w:eastAsia="Times New Roman" w:hAnsi="Times New Roman"/>
          <w:sz w:val="20"/>
          <w:szCs w:val="20"/>
        </w:rPr>
        <w:t xml:space="preserve">).</w:t>
      </w:r>
    </w:p>
    <w:p>
      <w:pPr>
        <w:spacing w:after="0" w:before="0"/>
      </w:pPr>
      <w:r>
        <w:rPr>
          <w:rFonts w:ascii="Times New Roman" w:cs="Times New Roman" w:eastAsia="Times New Roman" w:hAnsi="Times New Roman"/>
          <w:sz w:val="20"/>
          <w:szCs w:val="20"/>
        </w:rPr>
        <w:t xml:space="preserve"/>
      </w:r>
    </w:p>
    <w:p>
      <w:pPr>
        <w:spacing w:after="80" w:before="80" w:line="276"/>
      </w:pPr>
      <w:r>
        <w:rPr>
          <w:rFonts w:ascii="Times New Roman" w:cs="Times New Roman" w:eastAsia="Times New Roman" w:hAnsi="Times New Roman"/>
          <w:sz w:val="20"/>
          <w:szCs w:val="20"/>
        </w:rPr>
        <w:t xml:space="preserve">Initech is referred to herein as the </w:t>
      </w:r>
      <w:r>
        <w:rPr>
          <w:rFonts w:ascii="Times New Roman" w:cs="Times New Roman" w:eastAsia="Times New Roman" w:hAnsi="Times New Roman"/>
          <w:b/>
          <w:bCs/>
          <w:sz w:val="20"/>
          <w:szCs w:val="20"/>
        </w:rPr>
        <w:t xml:space="preserve">"Disclosing Party."</w:t>
      </w:r>
      <w:r>
        <w:rPr>
          <w:rFonts w:ascii="Times New Roman" w:cs="Times New Roman" w:eastAsia="Times New Roman" w:hAnsi="Times New Roman"/>
          <w:sz w:val="20"/>
          <w:szCs w:val="20"/>
        </w:rPr>
        <w:t xml:space="preserve"> Vendor is referred to herein as the </w:t>
      </w:r>
      <w:r>
        <w:rPr>
          <w:rFonts w:ascii="Times New Roman" w:cs="Times New Roman" w:eastAsia="Times New Roman" w:hAnsi="Times New Roman"/>
          <w:b/>
          <w:bCs/>
          <w:sz w:val="20"/>
          <w:szCs w:val="20"/>
        </w:rPr>
        <w:t xml:space="preserve">"Receiving Party."</w:t>
      </w:r>
      <w:r>
        <w:rPr>
          <w:rFonts w:ascii="Times New Roman" w:cs="Times New Roman" w:eastAsia="Times New Roman" w:hAnsi="Times New Roman"/>
          <w:sz w:val="20"/>
          <w:szCs w:val="20"/>
        </w:rPr>
        <w:t xml:space="preserve"> Only Initech shall act as Disclosing Party under this Agreement.</w:t>
      </w:r>
    </w:p>
    <w:p>
      <w:pPr>
        <w:pStyle w:val="Heading1"/>
        <w:pBdr>
          <w:bottom w:val="single" w:color="1F3864" w:sz="4" w:space="4"/>
        </w:pBdr>
        <w:spacing w:after="120" w:before="360"/>
        <w:outlineLvl w:val="0"/>
      </w:pPr>
      <w:r>
        <w:rPr>
          <w:rFonts w:ascii="Times New Roman" w:cs="Times New Roman" w:eastAsia="Times New Roman" w:hAnsi="Times New Roman"/>
          <w:b/>
          <w:bCs/>
          <w:color w:val="1F3864"/>
          <w:sz w:val="24"/>
          <w:szCs w:val="24"/>
        </w:rPr>
        <w:t xml:space="preserve">1.  PURPOSE</w:t>
      </w:r>
    </w:p>
    <w:p>
      <w:pPr>
        <w:spacing w:after="80" w:before="80" w:line="276"/>
      </w:pPr>
      <w:r>
        <w:rPr>
          <w:rFonts w:ascii="Times New Roman" w:cs="Times New Roman" w:eastAsia="Times New Roman" w:hAnsi="Times New Roman"/>
          <w:sz w:val="20"/>
          <w:szCs w:val="20"/>
        </w:rPr>
        <w:t xml:space="preserve">The parties wish to explore a potential business relationship involving Vendor's AI-powered contract review platform (the "Purpose"). In connection with the Purpose, Initech may disclose certain confidential information to Vendor for the sole purpose of evaluating the platform.</w:t>
      </w:r>
    </w:p>
    <w:p>
      <w:pPr>
        <w:pStyle w:val="Heading1"/>
        <w:pBdr>
          <w:bottom w:val="single" w:color="1F3864" w:sz="4" w:space="4"/>
        </w:pBdr>
        <w:spacing w:after="120" w:before="360"/>
        <w:outlineLvl w:val="0"/>
      </w:pPr>
      <w:r>
        <w:rPr>
          <w:rFonts w:ascii="Times New Roman" w:cs="Times New Roman" w:eastAsia="Times New Roman" w:hAnsi="Times New Roman"/>
          <w:b/>
          <w:bCs/>
          <w:color w:val="1F3864"/>
          <w:sz w:val="24"/>
          <w:szCs w:val="24"/>
        </w:rPr>
        <w:t xml:space="preserve">2.  CONFIDENTIAL INFORMATION</w:t>
      </w:r>
    </w:p>
    <w:p>
      <w:pPr>
        <w:spacing w:after="60" w:before="120"/>
      </w:pPr>
      <w:r>
        <w:rPr>
          <w:rFonts w:ascii="Times New Roman" w:cs="Times New Roman" w:eastAsia="Times New Roman" w:hAnsi="Times New Roman"/>
          <w:b/>
          <w:bCs/>
          <w:sz w:val="20"/>
          <w:szCs w:val="20"/>
        </w:rPr>
        <w:t xml:space="preserve">2.1  Definition.</w:t>
      </w:r>
    </w:p>
    <w:p>
      <w:pPr>
        <w:spacing w:after="80" w:before="80" w:line="276"/>
      </w:pPr>
      <w:r>
        <w:rPr>
          <w:rFonts w:ascii="Times New Roman" w:cs="Times New Roman" w:eastAsia="Times New Roman" w:hAnsi="Times New Roman"/>
          <w:sz w:val="20"/>
          <w:szCs w:val="20"/>
        </w:rPr>
        <w:t xml:space="preserve">"</w:t>
      </w:r>
      <w:r>
        <w:rPr>
          <w:rFonts w:ascii="Times New Roman" w:cs="Times New Roman" w:eastAsia="Times New Roman" w:hAnsi="Times New Roman"/>
          <w:b/>
          <w:bCs/>
          <w:sz w:val="20"/>
          <w:szCs w:val="20"/>
        </w:rPr>
        <w:t xml:space="preserve">Confidential Information</w:t>
      </w:r>
      <w:r>
        <w:rPr>
          <w:rFonts w:ascii="Times New Roman" w:cs="Times New Roman" w:eastAsia="Times New Roman" w:hAnsi="Times New Roman"/>
          <w:sz w:val="20"/>
          <w:szCs w:val="20"/>
        </w:rPr>
        <w:t xml:space="preserve">" means any information disclosed by Initech to Vendor, whether disclosed orally, in writing, or by any other means, regardless of whether it is marked or identified as confidential at the time of disclosure. Confidential Information includes, without limitation: business plans; financial information; technical data; product roadmaps; pricing; customer lists; trade secrets; regulatory and compliance documentation; internal policies and procedures; information relating to Initech's clients and counterparties; and any other information relating to Initech's business, operations, or strategic initiatives, including information disclosed verbally in any meeting, call, or demonstration.</w:t>
      </w:r>
    </w:p>
    <w:p>
      <w:pPr>
        <w:spacing w:after="0" w:before="0"/>
      </w:pPr>
      <w:r>
        <w:rPr>
          <w:rFonts w:ascii="Times New Roman" w:cs="Times New Roman" w:eastAsia="Times New Roman" w:hAnsi="Times New Roman"/>
          <w:sz w:val="20"/>
          <w:szCs w:val="20"/>
        </w:rPr>
        <w:t xml:space="preserve"/>
      </w:r>
    </w:p>
    <w:p>
      <w:pPr>
        <w:spacing w:after="60" w:before="60" w:line="260"/>
        <w:ind w:left="720"/>
      </w:pPr>
      <w:r>
        <w:rPr>
          <w:rFonts w:ascii="Times New Roman" w:cs="Times New Roman" w:eastAsia="Times New Roman" w:hAnsi="Times New Roman"/>
          <w:i/>
          <w:iCs/>
          <w:color w:val="4A4A4A"/>
          <w:sz w:val="18"/>
          <w:szCs w:val="18"/>
        </w:rPr>
        <w:t xml:space="preserve">Note. The broad definition reflects Initech's status as an OSFI-regulated financial institution. The "regardless of marking" standard eliminates disputes over whether verbal disclosures at platform demonstrations are covered.</w:t>
      </w:r>
    </w:p>
    <w:p>
      <w:pPr>
        <w:spacing w:after="60" w:before="120"/>
      </w:pPr>
      <w:r>
        <w:rPr>
          <w:rFonts w:ascii="Times New Roman" w:cs="Times New Roman" w:eastAsia="Times New Roman" w:hAnsi="Times New Roman"/>
          <w:b/>
          <w:bCs/>
          <w:sz w:val="20"/>
          <w:szCs w:val="20"/>
        </w:rPr>
        <w:t xml:space="preserve">2.2  Exclusions.</w:t>
      </w:r>
    </w:p>
    <w:p>
      <w:pPr>
        <w:spacing w:after="80" w:before="80" w:line="276"/>
      </w:pPr>
      <w:r>
        <w:rPr>
          <w:rFonts w:ascii="Times New Roman" w:cs="Times New Roman" w:eastAsia="Times New Roman" w:hAnsi="Times New Roman"/>
          <w:sz w:val="20"/>
          <w:szCs w:val="20"/>
        </w:rPr>
        <w:t xml:space="preserve">Confidential Information does not include information that: (a) is or becomes publicly available through no fault of the Receiving Party; (b) was rightfully known to the Receiving Party prior to disclosure; (c) is rightfully received by the Receiving Party from a third party, provided Vendor can demonstrate such third party was authorized to make such disclosure; or (d) is independently developed by the Receiving Party without use of Initech's Confidential Information, provided Vendor maintains written records sufficient to demonstrate such independent development. Vendor bears the burden of proving that any exclusion applies.</w:t>
      </w:r>
    </w:p>
    <w:p>
      <w:pPr>
        <w:pStyle w:val="Heading1"/>
        <w:pBdr>
          <w:bottom w:val="single" w:color="1F3864" w:sz="4" w:space="4"/>
        </w:pBdr>
        <w:spacing w:after="120" w:before="360"/>
        <w:outlineLvl w:val="0"/>
      </w:pPr>
      <w:r>
        <w:rPr>
          <w:rFonts w:ascii="Times New Roman" w:cs="Times New Roman" w:eastAsia="Times New Roman" w:hAnsi="Times New Roman"/>
          <w:b/>
          <w:bCs/>
          <w:color w:val="1F3864"/>
          <w:sz w:val="24"/>
          <w:szCs w:val="24"/>
        </w:rPr>
        <w:t xml:space="preserve">3.  OBLIGATIONS</w:t>
      </w:r>
    </w:p>
    <w:p>
      <w:pPr>
        <w:spacing w:after="60" w:before="120"/>
      </w:pPr>
      <w:r>
        <w:rPr>
          <w:rFonts w:ascii="Times New Roman" w:cs="Times New Roman" w:eastAsia="Times New Roman" w:hAnsi="Times New Roman"/>
          <w:b/>
          <w:bCs/>
          <w:sz w:val="20"/>
          <w:szCs w:val="20"/>
        </w:rPr>
        <w:t xml:space="preserve">3.1  Non-Disclosure.</w:t>
      </w:r>
    </w:p>
    <w:p>
      <w:pPr>
        <w:spacing w:after="80" w:before="80" w:line="276"/>
      </w:pPr>
      <w:r>
        <w:rPr>
          <w:rFonts w:ascii="Times New Roman" w:cs="Times New Roman" w:eastAsia="Times New Roman" w:hAnsi="Times New Roman"/>
          <w:sz w:val="20"/>
          <w:szCs w:val="20"/>
        </w:rPr>
        <w:t xml:space="preserve">Vendor agrees to: (a) hold Initech's Confidential Information in strict confidence using at least the same degree of care it uses to protect its own confidential information, but no less than industry-leading care; (b) not disclose Confidential Information to any third party without the prior written consent of Initech; and (c) use the Confidential Information solely for the Purpose.</w:t>
      </w:r>
    </w:p>
    <w:p>
      <w:pPr>
        <w:spacing w:after="60" w:before="120"/>
      </w:pPr>
      <w:r>
        <w:rPr>
          <w:rFonts w:ascii="Times New Roman" w:cs="Times New Roman" w:eastAsia="Times New Roman" w:hAnsi="Times New Roman"/>
          <w:b/>
          <w:bCs/>
          <w:sz w:val="20"/>
          <w:szCs w:val="20"/>
        </w:rPr>
        <w:t xml:space="preserve">3.2  Permitted Disclosures.</w:t>
      </w:r>
    </w:p>
    <w:p>
      <w:pPr>
        <w:spacing w:after="80" w:before="80" w:line="276"/>
      </w:pPr>
      <w:r>
        <w:rPr>
          <w:rFonts w:ascii="Times New Roman" w:cs="Times New Roman" w:eastAsia="Times New Roman" w:hAnsi="Times New Roman"/>
          <w:sz w:val="20"/>
          <w:szCs w:val="20"/>
        </w:rPr>
        <w:t xml:space="preserve">Vendor may disclose Confidential Information to its full-time employees ("Representatives") who: (a) have a need to know such information for the Purpose; and (b) are bound by written confidentiality obligations at least as protective as those in this Agreement, copies of which shall be provided to Initech upon request. Vendor is responsible for any breach of this Agreement by its Representatives.</w:t>
      </w:r>
    </w:p>
    <w:p>
      <w:pPr>
        <w:spacing w:after="0" w:before="0"/>
      </w:pPr>
      <w:r>
        <w:rPr>
          <w:rFonts w:ascii="Times New Roman" w:cs="Times New Roman" w:eastAsia="Times New Roman" w:hAnsi="Times New Roman"/>
          <w:sz w:val="20"/>
          <w:szCs w:val="20"/>
        </w:rPr>
        <w:t xml:space="preserve"/>
      </w:r>
    </w:p>
    <w:p>
      <w:pPr>
        <w:spacing w:after="60" w:before="60" w:line="260"/>
        <w:ind w:left="720"/>
      </w:pPr>
      <w:r>
        <w:rPr>
          <w:rFonts w:ascii="Times New Roman" w:cs="Times New Roman" w:eastAsia="Times New Roman" w:hAnsi="Times New Roman"/>
          <w:i/>
          <w:iCs/>
          <w:color w:val="4A4A4A"/>
          <w:sz w:val="18"/>
          <w:szCs w:val="18"/>
        </w:rPr>
        <w:t xml:space="preserve">Note. Contractors, advisors, and officers other than full-time employees are excluded from permitted disclosures. This reflects Initech's requirement to know exactly who accesses its information. Vendor should ensure its internal access controls align with this restriction before execution.</w:t>
      </w:r>
    </w:p>
    <w:p>
      <w:pPr>
        <w:spacing w:after="60" w:before="120"/>
      </w:pPr>
      <w:r>
        <w:rPr>
          <w:rFonts w:ascii="Times New Roman" w:cs="Times New Roman" w:eastAsia="Times New Roman" w:hAnsi="Times New Roman"/>
          <w:b/>
          <w:bCs/>
          <w:sz w:val="20"/>
          <w:szCs w:val="20"/>
        </w:rPr>
        <w:t xml:space="preserve">3.3  Required Disclosures.</w:t>
      </w:r>
    </w:p>
    <w:p>
      <w:pPr>
        <w:spacing w:after="80" w:before="80" w:line="276"/>
      </w:pPr>
      <w:r>
        <w:rPr>
          <w:rFonts w:ascii="Times New Roman" w:cs="Times New Roman" w:eastAsia="Times New Roman" w:hAnsi="Times New Roman"/>
          <w:sz w:val="20"/>
          <w:szCs w:val="20"/>
        </w:rPr>
        <w:t xml:space="preserve">If Vendor is required by law, regulation, or court order to disclose Confidential Information, Vendor will: (a) promptly notify Initech in writing to the extent permitted by law; (b) reasonably cooperate with Initech's efforts to seek a protective order or other appropriate relief; and (c) disclose only the minimum amount of information required. Vendor shall bear all costs associated with seeking such protective relief.</w:t>
      </w:r>
    </w:p>
    <w:p>
      <w:pPr>
        <w:pStyle w:val="Heading1"/>
        <w:pBdr>
          <w:bottom w:val="single" w:color="1F3864" w:sz="4" w:space="4"/>
        </w:pBdr>
        <w:spacing w:after="120" w:before="360"/>
        <w:outlineLvl w:val="0"/>
      </w:pPr>
      <w:r>
        <w:rPr>
          <w:rFonts w:ascii="Times New Roman" w:cs="Times New Roman" w:eastAsia="Times New Roman" w:hAnsi="Times New Roman"/>
          <w:b/>
          <w:bCs/>
          <w:color w:val="1F3864"/>
          <w:sz w:val="24"/>
          <w:szCs w:val="24"/>
        </w:rPr>
        <w:t xml:space="preserve">4.  TERM</w:t>
      </w:r>
    </w:p>
    <w:p>
      <w:pPr>
        <w:spacing w:after="60" w:before="120"/>
      </w:pPr>
      <w:r>
        <w:rPr>
          <w:rFonts w:ascii="Times New Roman" w:cs="Times New Roman" w:eastAsia="Times New Roman" w:hAnsi="Times New Roman"/>
          <w:b/>
          <w:bCs/>
          <w:sz w:val="20"/>
          <w:szCs w:val="20"/>
        </w:rPr>
        <w:t xml:space="preserve">4.1  Agreement Term.</w:t>
      </w:r>
    </w:p>
    <w:p>
      <w:pPr>
        <w:spacing w:after="80" w:before="80" w:line="276"/>
      </w:pPr>
      <w:r>
        <w:rPr>
          <w:rFonts w:ascii="Times New Roman" w:cs="Times New Roman" w:eastAsia="Times New Roman" w:hAnsi="Times New Roman"/>
          <w:sz w:val="20"/>
          <w:szCs w:val="20"/>
        </w:rPr>
        <w:t xml:space="preserve">This Agreement commences on the Effective Date and continues for a period of three (3) years, unless earlier terminated: (a) by Initech at any time upon written notice; or (b) by Vendor upon ninety (90) days' written notice.</w:t>
      </w:r>
    </w:p>
    <w:p>
      <w:pPr>
        <w:spacing w:after="0" w:before="0"/>
      </w:pPr>
      <w:r>
        <w:rPr>
          <w:rFonts w:ascii="Times New Roman" w:cs="Times New Roman" w:eastAsia="Times New Roman" w:hAnsi="Times New Roman"/>
          <w:sz w:val="20"/>
          <w:szCs w:val="20"/>
        </w:rPr>
        <w:t xml:space="preserve"/>
      </w:r>
    </w:p>
    <w:p>
      <w:pPr>
        <w:spacing w:after="60" w:before="60" w:line="260"/>
        <w:ind w:left="720"/>
      </w:pPr>
      <w:r>
        <w:rPr>
          <w:rFonts w:ascii="Times New Roman" w:cs="Times New Roman" w:eastAsia="Times New Roman" w:hAnsi="Times New Roman"/>
          <w:i/>
          <w:iCs/>
          <w:color w:val="4A4A4A"/>
          <w:sz w:val="18"/>
          <w:szCs w:val="18"/>
        </w:rPr>
        <w:t xml:space="preserve">Note. The asymmetric termination notice period (Initech at will; Vendor on 90 days' notice) reflects Initech's need for continuity of protection and Vendor's obligation to maintain protective measures pending any wind-down. Vendor negotiators should consider whether a shorter Vendor notice period is achievable; however, given the deal dynamics, the 90-day period is unlikely to move.</w:t>
      </w:r>
    </w:p>
    <w:p>
      <w:pPr>
        <w:spacing w:after="60" w:before="120"/>
      </w:pPr>
      <w:r>
        <w:rPr>
          <w:rFonts w:ascii="Times New Roman" w:cs="Times New Roman" w:eastAsia="Times New Roman" w:hAnsi="Times New Roman"/>
          <w:b/>
          <w:bCs/>
          <w:sz w:val="20"/>
          <w:szCs w:val="20"/>
        </w:rPr>
        <w:t xml:space="preserve">4.2  Survival.</w:t>
      </w:r>
    </w:p>
    <w:p>
      <w:pPr>
        <w:spacing w:after="80" w:before="80" w:line="276"/>
      </w:pPr>
      <w:r>
        <w:rPr>
          <w:rFonts w:ascii="Times New Roman" w:cs="Times New Roman" w:eastAsia="Times New Roman" w:hAnsi="Times New Roman"/>
          <w:sz w:val="20"/>
          <w:szCs w:val="20"/>
        </w:rPr>
        <w:t xml:space="preserve">The confidentiality obligations in Section 3 survive termination of this Agreement for a further period of five (5) years.</w:t>
      </w:r>
    </w:p>
    <w:p>
      <w:pPr>
        <w:pStyle w:val="Heading1"/>
        <w:pBdr>
          <w:bottom w:val="single" w:color="1F3864" w:sz="4" w:space="4"/>
        </w:pBdr>
        <w:spacing w:after="120" w:before="360"/>
        <w:outlineLvl w:val="0"/>
      </w:pPr>
      <w:r>
        <w:rPr>
          <w:rFonts w:ascii="Times New Roman" w:cs="Times New Roman" w:eastAsia="Times New Roman" w:hAnsi="Times New Roman"/>
          <w:b/>
          <w:bCs/>
          <w:color w:val="1F3864"/>
          <w:sz w:val="24"/>
          <w:szCs w:val="24"/>
        </w:rPr>
        <w:t xml:space="preserve">5.  RETURN OR DESTRUCTION OF INFORMATION</w:t>
      </w:r>
    </w:p>
    <w:p>
      <w:pPr>
        <w:spacing w:after="80" w:before="80" w:line="276"/>
      </w:pPr>
      <w:r>
        <w:rPr>
          <w:rFonts w:ascii="Times New Roman" w:cs="Times New Roman" w:eastAsia="Times New Roman" w:hAnsi="Times New Roman"/>
          <w:sz w:val="20"/>
          <w:szCs w:val="20"/>
        </w:rPr>
        <w:t xml:space="preserve">Upon written request of Initech or upon termination of this Agreement, Vendor will promptly return or destroy all Confidential Information and any copies thereof. Vendor shall provide written certification of destruction within five (5) business days of such request or termination, regardless of whether Initech separately requests certification. No archival copies shall be retained by Vendor without Initech's prior written consent.</w:t>
      </w:r>
    </w:p>
    <w:p>
      <w:pPr>
        <w:spacing w:after="0" w:before="0"/>
      </w:pPr>
      <w:r>
        <w:rPr>
          <w:rFonts w:ascii="Times New Roman" w:cs="Times New Roman" w:eastAsia="Times New Roman" w:hAnsi="Times New Roman"/>
          <w:sz w:val="20"/>
          <w:szCs w:val="20"/>
        </w:rPr>
        <w:t xml:space="preserve"/>
      </w:r>
    </w:p>
    <w:p>
      <w:pPr>
        <w:spacing w:after="60" w:before="60" w:line="260"/>
        <w:ind w:left="720"/>
      </w:pPr>
      <w:r>
        <w:rPr>
          <w:rFonts w:ascii="Times New Roman" w:cs="Times New Roman" w:eastAsia="Times New Roman" w:hAnsi="Times New Roman"/>
          <w:i/>
          <w:iCs/>
          <w:color w:val="4A4A4A"/>
          <w:sz w:val="18"/>
          <w:szCs w:val="18"/>
        </w:rPr>
        <w:t xml:space="preserve">Note. The no-archival-copy provision is a departure from standard practice. Vendor should assess whether it has technical retention obligations (e.g., backup tapes) that may create compliance risk, and seek a narrow carve-out for automated system backups if necessary prior to execution.</w:t>
      </w:r>
    </w:p>
    <w:p>
      <w:pPr>
        <w:pStyle w:val="Heading1"/>
        <w:pBdr>
          <w:bottom w:val="single" w:color="1F3864" w:sz="4" w:space="4"/>
        </w:pBdr>
        <w:spacing w:after="120" w:before="360"/>
        <w:outlineLvl w:val="0"/>
      </w:pPr>
      <w:r>
        <w:rPr>
          <w:rFonts w:ascii="Times New Roman" w:cs="Times New Roman" w:eastAsia="Times New Roman" w:hAnsi="Times New Roman"/>
          <w:b/>
          <w:bCs/>
          <w:color w:val="1F3864"/>
          <w:sz w:val="24"/>
          <w:szCs w:val="24"/>
        </w:rPr>
        <w:t xml:space="preserve">6.  NO LICENCE OR WARRANTY</w:t>
      </w:r>
    </w:p>
    <w:p>
      <w:pPr>
        <w:spacing w:after="80" w:before="80" w:line="276"/>
      </w:pPr>
      <w:r>
        <w:rPr>
          <w:rFonts w:ascii="Times New Roman" w:cs="Times New Roman" w:eastAsia="Times New Roman" w:hAnsi="Times New Roman"/>
          <w:sz w:val="20"/>
          <w:szCs w:val="20"/>
        </w:rPr>
        <w:t xml:space="preserve">Nothing in this Agreement grants Vendor any licence, right, title, or interest in Initech's Confidential Information except as expressly set out herein. All Confidential Information is provided "as is" without any representation or warranty as to its accuracy or completeness.</w:t>
      </w:r>
    </w:p>
    <w:p>
      <w:pPr>
        <w:pStyle w:val="Heading1"/>
        <w:pBdr>
          <w:bottom w:val="single" w:color="1F3864" w:sz="4" w:space="4"/>
        </w:pBdr>
        <w:spacing w:after="120" w:before="360"/>
        <w:outlineLvl w:val="0"/>
      </w:pPr>
      <w:r>
        <w:rPr>
          <w:rFonts w:ascii="Times New Roman" w:cs="Times New Roman" w:eastAsia="Times New Roman" w:hAnsi="Times New Roman"/>
          <w:b/>
          <w:bCs/>
          <w:color w:val="1F3864"/>
          <w:sz w:val="24"/>
          <w:szCs w:val="24"/>
        </w:rPr>
        <w:t xml:space="preserve">7.  REMEDIES</w:t>
      </w:r>
    </w:p>
    <w:p>
      <w:pPr>
        <w:spacing w:after="80" w:before="80" w:line="276"/>
      </w:pPr>
      <w:r>
        <w:rPr>
          <w:rFonts w:ascii="Times New Roman" w:cs="Times New Roman" w:eastAsia="Times New Roman" w:hAnsi="Times New Roman"/>
          <w:sz w:val="20"/>
          <w:szCs w:val="20"/>
        </w:rPr>
        <w:t xml:space="preserve">The parties acknowledge that a breach of this Agreement may cause irreparable harm for which monetary damages may be an inadequate remedy. Accordingly, in addition to any other remedies available at law or in equity, Initech shall be entitled to seek equitable relief, including injunctive relief. Initech shall not be required to post any bond or other security as a condition of obtaining injunctive or other equitable relief.</w:t>
      </w:r>
    </w:p>
    <w:p>
      <w:pPr>
        <w:spacing w:after="0" w:before="0"/>
      </w:pPr>
      <w:r>
        <w:rPr>
          <w:rFonts w:ascii="Times New Roman" w:cs="Times New Roman" w:eastAsia="Times New Roman" w:hAnsi="Times New Roman"/>
          <w:sz w:val="20"/>
          <w:szCs w:val="20"/>
        </w:rPr>
        <w:t xml:space="preserve"/>
      </w:r>
    </w:p>
    <w:p>
      <w:pPr>
        <w:spacing w:after="60" w:before="60" w:line="260"/>
        <w:ind w:left="720"/>
      </w:pPr>
      <w:r>
        <w:rPr>
          <w:rFonts w:ascii="Times New Roman" w:cs="Times New Roman" w:eastAsia="Times New Roman" w:hAnsi="Times New Roman"/>
          <w:i/>
          <w:iCs/>
          <w:color w:val="4A4A4A"/>
          <w:sz w:val="18"/>
          <w:szCs w:val="18"/>
        </w:rPr>
        <w:t xml:space="preserve">Note. The no-bond provision departs from the standard approach of requiring a security posting. It reflects Initech's position that any delay in obtaining relief could be catastrophic given its regulatory obligations. This is market standard for large financial institutions and is unlikely to be successfully resisted by Vendor.</w:t>
      </w:r>
    </w:p>
    <w:p>
      <w:pPr>
        <w:pStyle w:val="Heading1"/>
        <w:pBdr>
          <w:bottom w:val="single" w:color="1F3864" w:sz="4" w:space="4"/>
        </w:pBdr>
        <w:spacing w:after="120" w:before="360"/>
        <w:outlineLvl w:val="0"/>
      </w:pPr>
      <w:r>
        <w:rPr>
          <w:rFonts w:ascii="Times New Roman" w:cs="Times New Roman" w:eastAsia="Times New Roman" w:hAnsi="Times New Roman"/>
          <w:b/>
          <w:bCs/>
          <w:color w:val="1F3864"/>
          <w:sz w:val="24"/>
          <w:szCs w:val="24"/>
        </w:rPr>
        <w:t xml:space="preserve">8.  GENERAL</w:t>
      </w:r>
    </w:p>
    <w:p>
      <w:pPr>
        <w:spacing w:after="60" w:before="120"/>
      </w:pPr>
      <w:r>
        <w:rPr>
          <w:rFonts w:ascii="Times New Roman" w:cs="Times New Roman" w:eastAsia="Times New Roman" w:hAnsi="Times New Roman"/>
          <w:b/>
          <w:bCs/>
          <w:sz w:val="20"/>
          <w:szCs w:val="20"/>
        </w:rPr>
        <w:t xml:space="preserve">8.1  Governing Law.</w:t>
      </w:r>
    </w:p>
    <w:p>
      <w:pPr>
        <w:spacing w:after="80" w:before="80" w:line="276"/>
      </w:pPr>
      <w:r>
        <w:rPr>
          <w:rFonts w:ascii="Times New Roman" w:cs="Times New Roman" w:eastAsia="Times New Roman" w:hAnsi="Times New Roman"/>
          <w:sz w:val="20"/>
          <w:szCs w:val="20"/>
        </w:rPr>
        <w:t xml:space="preserve">This Agreement is governed by the laws of the Province of Ontario and the federal laws of Canada applicable therein, without regard to conflict of law principles. Each party irrevocably submits to the exclusive jurisdiction of the courts of Ontario. Vendor irrevocably waives any objection to the laying of venue in the courts of Ontario.</w:t>
      </w:r>
    </w:p>
    <w:p>
      <w:pPr>
        <w:spacing w:after="60" w:before="120"/>
      </w:pPr>
      <w:r>
        <w:rPr>
          <w:rFonts w:ascii="Times New Roman" w:cs="Times New Roman" w:eastAsia="Times New Roman" w:hAnsi="Times New Roman"/>
          <w:b/>
          <w:bCs/>
          <w:sz w:val="20"/>
          <w:szCs w:val="20"/>
        </w:rPr>
        <w:t xml:space="preserve">8.2  Entire Agreement.</w:t>
      </w:r>
    </w:p>
    <w:p>
      <w:pPr>
        <w:spacing w:after="80" w:before="80" w:line="276"/>
      </w:pPr>
      <w:r>
        <w:rPr>
          <w:rFonts w:ascii="Times New Roman" w:cs="Times New Roman" w:eastAsia="Times New Roman" w:hAnsi="Times New Roman"/>
          <w:sz w:val="20"/>
          <w:szCs w:val="20"/>
        </w:rPr>
        <w:t xml:space="preserve">This Agreement constitutes the entire agreement between the parties with respect to its subject matter and supersedes all prior negotiations, representations, and understandings.</w:t>
      </w:r>
    </w:p>
    <w:p>
      <w:pPr>
        <w:spacing w:after="60" w:before="120"/>
      </w:pPr>
      <w:r>
        <w:rPr>
          <w:rFonts w:ascii="Times New Roman" w:cs="Times New Roman" w:eastAsia="Times New Roman" w:hAnsi="Times New Roman"/>
          <w:b/>
          <w:bCs/>
          <w:sz w:val="20"/>
          <w:szCs w:val="20"/>
        </w:rPr>
        <w:t xml:space="preserve">8.3  Amendments.</w:t>
      </w:r>
    </w:p>
    <w:p>
      <w:pPr>
        <w:spacing w:after="80" w:before="80" w:line="276"/>
      </w:pPr>
      <w:r>
        <w:rPr>
          <w:rFonts w:ascii="Times New Roman" w:cs="Times New Roman" w:eastAsia="Times New Roman" w:hAnsi="Times New Roman"/>
          <w:sz w:val="20"/>
          <w:szCs w:val="20"/>
        </w:rPr>
        <w:t xml:space="preserve">This Agreement may only be amended by a written instrument signed by authorized representatives of both parties.</w:t>
      </w:r>
    </w:p>
    <w:p>
      <w:pPr>
        <w:spacing w:after="60" w:before="120"/>
      </w:pPr>
      <w:r>
        <w:rPr>
          <w:rFonts w:ascii="Times New Roman" w:cs="Times New Roman" w:eastAsia="Times New Roman" w:hAnsi="Times New Roman"/>
          <w:b/>
          <w:bCs/>
          <w:sz w:val="20"/>
          <w:szCs w:val="20"/>
        </w:rPr>
        <w:t xml:space="preserve">8.4  Severability.</w:t>
      </w:r>
    </w:p>
    <w:p>
      <w:pPr>
        <w:spacing w:after="80" w:before="80" w:line="276"/>
      </w:pPr>
      <w:r>
        <w:rPr>
          <w:rFonts w:ascii="Times New Roman" w:cs="Times New Roman" w:eastAsia="Times New Roman" w:hAnsi="Times New Roman"/>
          <w:sz w:val="20"/>
          <w:szCs w:val="20"/>
        </w:rPr>
        <w:t xml:space="preserve">If any provision of this Agreement is held to be invalid or unenforceable, the remaining provisions continue in full force and effect.</w:t>
      </w:r>
    </w:p>
    <w:p>
      <w:pPr>
        <w:spacing w:after="60" w:before="120"/>
      </w:pPr>
      <w:r>
        <w:rPr>
          <w:rFonts w:ascii="Times New Roman" w:cs="Times New Roman" w:eastAsia="Times New Roman" w:hAnsi="Times New Roman"/>
          <w:b/>
          <w:bCs/>
          <w:sz w:val="20"/>
          <w:szCs w:val="20"/>
        </w:rPr>
        <w:t xml:space="preserve">8.5  No Waiver.</w:t>
      </w:r>
    </w:p>
    <w:p>
      <w:pPr>
        <w:spacing w:after="80" w:before="80" w:line="276"/>
      </w:pPr>
      <w:r>
        <w:rPr>
          <w:rFonts w:ascii="Times New Roman" w:cs="Times New Roman" w:eastAsia="Times New Roman" w:hAnsi="Times New Roman"/>
          <w:sz w:val="20"/>
          <w:szCs w:val="20"/>
        </w:rPr>
        <w:t xml:space="preserve">Failure to enforce any provision of this Agreement does not constitute a waiver of the right to enforce it in the future.</w:t>
      </w:r>
    </w:p>
    <w:p>
      <w:pPr>
        <w:spacing w:after="60" w:before="120"/>
      </w:pPr>
      <w:r>
        <w:rPr>
          <w:rFonts w:ascii="Times New Roman" w:cs="Times New Roman" w:eastAsia="Times New Roman" w:hAnsi="Times New Roman"/>
          <w:b/>
          <w:bCs/>
          <w:sz w:val="20"/>
          <w:szCs w:val="20"/>
        </w:rPr>
        <w:t xml:space="preserve">8.6  Counterparts.</w:t>
      </w:r>
    </w:p>
    <w:p>
      <w:pPr>
        <w:spacing w:after="80" w:before="80" w:line="276"/>
      </w:pPr>
      <w:r>
        <w:rPr>
          <w:rFonts w:ascii="Times New Roman" w:cs="Times New Roman" w:eastAsia="Times New Roman" w:hAnsi="Times New Roman"/>
          <w:sz w:val="20"/>
          <w:szCs w:val="20"/>
        </w:rPr>
        <w:t xml:space="preserve">This Agreement may be executed in counterparts, including by electronic signature, each of which will be deemed an original.</w:t>
      </w:r>
    </w:p>
    <w:p>
      <w:pPr>
        <w:spacing w:after="60" w:before="120"/>
      </w:pPr>
      <w:r>
        <w:rPr>
          <w:rFonts w:ascii="Times New Roman" w:cs="Times New Roman" w:eastAsia="Times New Roman" w:hAnsi="Times New Roman"/>
          <w:b/>
          <w:bCs/>
          <w:sz w:val="20"/>
          <w:szCs w:val="20"/>
        </w:rPr>
        <w:t xml:space="preserve">8.7  Audit Rights.</w:t>
      </w:r>
    </w:p>
    <w:p>
      <w:pPr>
        <w:spacing w:after="80" w:before="80" w:line="276"/>
      </w:pPr>
      <w:r>
        <w:rPr>
          <w:rFonts w:ascii="Times New Roman" w:cs="Times New Roman" w:eastAsia="Times New Roman" w:hAnsi="Times New Roman"/>
          <w:sz w:val="20"/>
          <w:szCs w:val="20"/>
        </w:rPr>
        <w:t xml:space="preserve">Upon reasonable prior written notice of not less than five (5) business days, Initech shall have the right to audit Vendor's information security practices and systems to verify compliance with this Agreement, no more than once per calendar year.</w:t>
      </w:r>
    </w:p>
    <w:p>
      <w:pPr>
        <w:spacing w:after="0" w:before="0"/>
      </w:pPr>
      <w:r>
        <w:rPr>
          <w:rFonts w:ascii="Times New Roman" w:cs="Times New Roman" w:eastAsia="Times New Roman" w:hAnsi="Times New Roman"/>
          <w:sz w:val="20"/>
          <w:szCs w:val="20"/>
        </w:rPr>
        <w:t xml:space="preserve"/>
      </w:r>
    </w:p>
    <w:p>
      <w:pPr>
        <w:spacing w:after="60" w:before="60" w:line="260"/>
        <w:ind w:left="720"/>
      </w:pPr>
      <w:r>
        <w:rPr>
          <w:rFonts w:ascii="Times New Roman" w:cs="Times New Roman" w:eastAsia="Times New Roman" w:hAnsi="Times New Roman"/>
          <w:i/>
          <w:iCs/>
          <w:color w:val="4A4A4A"/>
          <w:sz w:val="18"/>
          <w:szCs w:val="18"/>
        </w:rPr>
        <w:t xml:space="preserve">Note. Audit rights are a mandatory requirement under Initech's OSFI third-party risk management framework. Vendor should ensure it has the operational capacity to facilitate such audits and consider whether the five-business-day notice period is workable given its infrastructure.</w:t>
      </w:r>
    </w:p>
    <w:p>
      <w:pPr>
        <w:pBdr>
          <w:bottom w:val="single" w:color="BFBFBF" w:sz="2" w:space="4"/>
        </w:pBdr>
        <w:spacing w:after="120" w:before="120"/>
      </w:pPr>
      <w:r>
        <w:rPr>
          <w:rFonts w:ascii="Times New Roman" w:cs="Times New Roman" w:eastAsia="Times New Roman" w:hAnsi="Times New Roman"/>
          <w:sz w:val="20"/>
          <w:szCs w:val="20"/>
        </w:rPr>
        <w:t xml:space="preserve"/>
      </w:r>
    </w:p>
    <w:p>
      <w:pPr>
        <w:pStyle w:val="Heading1"/>
        <w:pBdr>
          <w:bottom w:val="single" w:color="1F3864" w:sz="4" w:space="4"/>
        </w:pBdr>
        <w:spacing w:after="120" w:before="360"/>
        <w:outlineLvl w:val="0"/>
      </w:pPr>
      <w:r>
        <w:rPr>
          <w:rFonts w:ascii="Times New Roman" w:cs="Times New Roman" w:eastAsia="Times New Roman" w:hAnsi="Times New Roman"/>
          <w:b/>
          <w:bCs/>
          <w:color w:val="1F3864"/>
          <w:sz w:val="24"/>
          <w:szCs w:val="24"/>
        </w:rPr>
        <w:t xml:space="preserve">SIGNATURES</w:t>
      </w:r>
    </w:p>
    <w:p>
      <w:pPr>
        <w:spacing w:after="0" w:before="0"/>
      </w:pPr>
      <w:r>
        <w:rPr>
          <w:rFonts w:ascii="Times New Roman" w:cs="Times New Roman" w:eastAsia="Times New Roman" w:hAnsi="Times New Roman"/>
          <w:sz w:val="20"/>
          <w:szCs w:val="20"/>
        </w:rPr>
        <w:t xml:space="preserve"/>
      </w:r>
    </w:p>
    <w:p>
      <w:pPr>
        <w:spacing w:after="80" w:before="80" w:line="276"/>
      </w:pPr>
      <w:r>
        <w:rPr>
          <w:rFonts w:ascii="Times New Roman" w:cs="Times New Roman" w:eastAsia="Times New Roman" w:hAnsi="Times New Roman"/>
          <w:sz w:val="20"/>
          <w:szCs w:val="20"/>
        </w:rPr>
        <w:t xml:space="preserve">IN WITNESS WHEREOF, the parties have executed this One-Way Non-Disclosure Agreement as of the date first written above.</w:t>
      </w:r>
    </w:p>
    <w:p>
      <w:pPr>
        <w:spacing w:after="0" w:before="0"/>
      </w:pPr>
      <w:r>
        <w:rPr>
          <w:rFonts w:ascii="Times New Roman" w:cs="Times New Roman" w:eastAsia="Times New Roman" w:hAnsi="Times New Roman"/>
          <w:sz w:val="20"/>
          <w:szCs w:val="20"/>
        </w:rPr>
        <w:t xml:space="preserve"/>
      </w:r>
    </w:p>
    <w:tbl>
      <w:tblPr>
        <w:tblW w:type="dxa" w:w="8640"/>
        <w:tblBorders>
          <w:top w:val="single" w:color="auto" w:sz="4"/>
          <w:left w:val="single" w:color="auto" w:sz="4"/>
          <w:bottom w:val="single" w:color="auto" w:sz="4"/>
          <w:right w:val="single" w:color="auto" w:sz="4"/>
          <w:insideH w:val="single" w:color="auto" w:sz="4"/>
          <w:insideV w:val="single" w:color="auto" w:sz="4"/>
        </w:tblBorders>
      </w:tblPr>
      <w:tblGrid>
        <w:gridCol w:w="4320"/>
        <w:gridCol w:w="4320"/>
      </w:tblGrid>
      <w:tr>
        <w:tc>
          <w:tcPr>
            <w:tcW w:type="dxa" w:w="4320"/>
            <w:tcBorders>
              <w:top w:val="single" w:color="CCCCCC" w:sz="4"/>
              <w:left w:val="single" w:color="CCCCCC" w:sz="4"/>
              <w:bottom w:val="single" w:color="CCCCCC" w:sz="4"/>
              <w:right w:val="single" w:color="CCCCCC" w:sz="4"/>
            </w:tcBorders>
            <w:shd w:fill="F9F9F9" w:val="clear"/>
            <w:tcMar>
              <w:top w:type="dxa" w:w="120"/>
              <w:left w:type="dxa" w:w="200"/>
              <w:bottom w:type="dxa" w:w="120"/>
              <w:right w:type="dxa" w:w="200"/>
            </w:tcMar>
          </w:tcPr>
          <w:p>
            <w:pPr>
              <w:spacing w:after="80" w:before="80" w:line="276"/>
            </w:pPr>
            <w:r>
              <w:rPr>
                <w:rFonts w:ascii="Times New Roman" w:cs="Times New Roman" w:eastAsia="Times New Roman" w:hAnsi="Times New Roman"/>
                <w:b/>
                <w:bCs/>
                <w:sz w:val="20"/>
                <w:szCs w:val="20"/>
              </w:rPr>
              <w:t xml:space="preserve">DUNDER AI INC.</w:t>
            </w:r>
          </w:p>
        </w:tc>
        <w:tc>
          <w:tcPr>
            <w:tcW w:type="dxa" w:w="4320"/>
            <w:tcBorders>
              <w:top w:val="single" w:color="CCCCCC" w:sz="4"/>
              <w:left w:val="single" w:color="CCCCCC" w:sz="4"/>
              <w:bottom w:val="single" w:color="CCCCCC" w:sz="4"/>
              <w:right w:val="single" w:color="CCCCCC" w:sz="4"/>
            </w:tcBorders>
            <w:shd w:fill="F9F9F9" w:val="clear"/>
            <w:tcMar>
              <w:top w:type="dxa" w:w="120"/>
              <w:left w:type="dxa" w:w="200"/>
              <w:bottom w:type="dxa" w:w="120"/>
              <w:right w:type="dxa" w:w="200"/>
            </w:tcMar>
          </w:tcPr>
          <w:p>
            <w:pPr>
              <w:spacing w:after="80" w:before="80" w:line="276"/>
            </w:pPr>
            <w:r>
              <w:rPr>
                <w:rFonts w:ascii="Times New Roman" w:cs="Times New Roman" w:eastAsia="Times New Roman" w:hAnsi="Times New Roman"/>
                <w:b/>
                <w:bCs/>
                <w:sz w:val="20"/>
                <w:szCs w:val="20"/>
              </w:rPr>
              <w:t xml:space="preserve">INITECH FINANCIAL GROUP INC.</w:t>
            </w:r>
          </w:p>
        </w:tc>
      </w:tr>
      <w:tr>
        <w:tc>
          <w:tcPr>
            <w:tcW w:type="dxa" w:w="4320"/>
            <w:tcBorders>
              <w:top w:val="single" w:color="CCCCCC" w:sz="4"/>
              <w:left w:val="single" w:color="CCCCCC" w:sz="4"/>
              <w:bottom w:val="single" w:color="CCCCCC" w:sz="4"/>
              <w:right w:val="single" w:color="CCCCCC" w:sz="4"/>
            </w:tcBorders>
            <w:shd w:fill="F9F9F9" w:val="clear"/>
            <w:tcMar>
              <w:top w:type="dxa" w:w="120"/>
              <w:left w:type="dxa" w:w="200"/>
              <w:bottom w:type="dxa" w:w="120"/>
              <w:right w:type="dxa" w:w="200"/>
            </w:tcMar>
          </w:tcPr>
          <w:p>
            <w:pPr>
              <w:spacing w:after="80" w:before="80" w:line="276"/>
            </w:pPr>
            <w:r>
              <w:rPr>
                <w:rFonts w:ascii="Times New Roman" w:cs="Times New Roman" w:eastAsia="Times New Roman" w:hAnsi="Times New Roman"/>
                <w:sz w:val="20"/>
                <w:szCs w:val="20"/>
              </w:rPr>
              <w:t xml:space="preserve">Signature:</w:t>
            </w:r>
          </w:p>
          <w:p>
            <w:pPr>
              <w:spacing w:after="0" w:before="120"/>
            </w:pPr>
            <w:r>
              <w:rPr>
                <w:rFonts w:ascii="Times New Roman" w:cs="Times New Roman" w:eastAsia="Times New Roman" w:hAnsi="Times New Roman"/>
                <w:sz w:val="20"/>
                <w:szCs w:val="20"/>
              </w:rPr>
              <w:t xml:space="preserve"/>
            </w:r>
          </w:p>
          <w:p>
            <w:pPr>
              <w:spacing w:after="40" w:before="0"/>
            </w:pPr>
            <w:r>
              <w:rPr>
                <w:rFonts w:ascii="Times New Roman" w:cs="Times New Roman" w:eastAsia="Times New Roman" w:hAnsi="Times New Roman"/>
                <w:sz w:val="20"/>
                <w:szCs w:val="20"/>
              </w:rPr>
              <w:t xml:space="preserve">________________________</w:t>
            </w:r>
          </w:p>
        </w:tc>
        <w:tc>
          <w:tcPr>
            <w:tcW w:type="dxa" w:w="4320"/>
            <w:tcBorders>
              <w:top w:val="single" w:color="CCCCCC" w:sz="4"/>
              <w:left w:val="single" w:color="CCCCCC" w:sz="4"/>
              <w:bottom w:val="single" w:color="CCCCCC" w:sz="4"/>
              <w:right w:val="single" w:color="CCCCCC" w:sz="4"/>
            </w:tcBorders>
            <w:shd w:fill="F9F9F9" w:val="clear"/>
            <w:tcMar>
              <w:top w:type="dxa" w:w="120"/>
              <w:left w:type="dxa" w:w="200"/>
              <w:bottom w:type="dxa" w:w="120"/>
              <w:right w:type="dxa" w:w="200"/>
            </w:tcMar>
          </w:tcPr>
          <w:p>
            <w:pPr>
              <w:spacing w:after="80" w:before="80" w:line="276"/>
            </w:pPr>
            <w:r>
              <w:rPr>
                <w:rFonts w:ascii="Times New Roman" w:cs="Times New Roman" w:eastAsia="Times New Roman" w:hAnsi="Times New Roman"/>
                <w:sz w:val="20"/>
                <w:szCs w:val="20"/>
              </w:rPr>
              <w:t xml:space="preserve">Signature:</w:t>
            </w:r>
          </w:p>
          <w:p>
            <w:pPr>
              <w:spacing w:after="0" w:before="120"/>
            </w:pPr>
            <w:r>
              <w:rPr>
                <w:rFonts w:ascii="Times New Roman" w:cs="Times New Roman" w:eastAsia="Times New Roman" w:hAnsi="Times New Roman"/>
                <w:sz w:val="20"/>
                <w:szCs w:val="20"/>
              </w:rPr>
              <w:t xml:space="preserve"/>
            </w:r>
          </w:p>
          <w:p>
            <w:pPr>
              <w:spacing w:after="40" w:before="0"/>
            </w:pPr>
            <w:r>
              <w:rPr>
                <w:rFonts w:ascii="Times New Roman" w:cs="Times New Roman" w:eastAsia="Times New Roman" w:hAnsi="Times New Roman"/>
                <w:sz w:val="20"/>
                <w:szCs w:val="20"/>
              </w:rPr>
              <w:t xml:space="preserve">________________________</w:t>
            </w:r>
          </w:p>
        </w:tc>
      </w:tr>
      <w:tr>
        <w:tc>
          <w:tcPr>
            <w:tcW w:type="dxa" w:w="4320"/>
            <w:tcBorders>
              <w:top w:val="single" w:color="CCCCCC" w:sz="4"/>
              <w:left w:val="single" w:color="CCCCCC" w:sz="4"/>
              <w:bottom w:val="single" w:color="CCCCCC" w:sz="4"/>
              <w:right w:val="single" w:color="CCCCCC" w:sz="4"/>
            </w:tcBorders>
            <w:shd w:fill="F9F9F9" w:val="clear"/>
            <w:tcMar>
              <w:top w:type="dxa" w:w="120"/>
              <w:left w:type="dxa" w:w="200"/>
              <w:bottom w:type="dxa" w:w="120"/>
              <w:right w:type="dxa" w:w="200"/>
            </w:tcMar>
          </w:tcPr>
          <w:p>
            <w:pPr>
              <w:spacing w:after="80" w:before="80" w:line="276"/>
            </w:pPr>
            <w:r>
              <w:rPr>
                <w:rFonts w:ascii="Times New Roman" w:cs="Times New Roman" w:eastAsia="Times New Roman" w:hAnsi="Times New Roman"/>
                <w:sz w:val="20"/>
                <w:szCs w:val="20"/>
              </w:rPr>
              <w:t xml:space="preserve">Name:</w:t>
            </w:r>
          </w:p>
          <w:p>
            <w:pPr>
              <w:spacing w:after="0" w:before="120"/>
            </w:pPr>
            <w:r>
              <w:rPr>
                <w:rFonts w:ascii="Times New Roman" w:cs="Times New Roman" w:eastAsia="Times New Roman" w:hAnsi="Times New Roman"/>
                <w:sz w:val="20"/>
                <w:szCs w:val="20"/>
              </w:rPr>
              <w:t xml:space="preserve"/>
            </w:r>
          </w:p>
          <w:p>
            <w:pPr>
              <w:spacing w:after="40" w:before="0"/>
            </w:pPr>
            <w:r>
              <w:rPr>
                <w:rFonts w:ascii="Times New Roman" w:cs="Times New Roman" w:eastAsia="Times New Roman" w:hAnsi="Times New Roman"/>
                <w:sz w:val="20"/>
                <w:szCs w:val="20"/>
              </w:rPr>
              <w:t xml:space="preserve">________________________</w:t>
            </w:r>
          </w:p>
        </w:tc>
        <w:tc>
          <w:tcPr>
            <w:tcW w:type="dxa" w:w="4320"/>
            <w:tcBorders>
              <w:top w:val="single" w:color="CCCCCC" w:sz="4"/>
              <w:left w:val="single" w:color="CCCCCC" w:sz="4"/>
              <w:bottom w:val="single" w:color="CCCCCC" w:sz="4"/>
              <w:right w:val="single" w:color="CCCCCC" w:sz="4"/>
            </w:tcBorders>
            <w:shd w:fill="F9F9F9" w:val="clear"/>
            <w:tcMar>
              <w:top w:type="dxa" w:w="120"/>
              <w:left w:type="dxa" w:w="200"/>
              <w:bottom w:type="dxa" w:w="120"/>
              <w:right w:type="dxa" w:w="200"/>
            </w:tcMar>
          </w:tcPr>
          <w:p>
            <w:pPr>
              <w:spacing w:after="80" w:before="80" w:line="276"/>
            </w:pPr>
            <w:r>
              <w:rPr>
                <w:rFonts w:ascii="Times New Roman" w:cs="Times New Roman" w:eastAsia="Times New Roman" w:hAnsi="Times New Roman"/>
                <w:sz w:val="20"/>
                <w:szCs w:val="20"/>
              </w:rPr>
              <w:t xml:space="preserve">Name:</w:t>
            </w:r>
          </w:p>
          <w:p>
            <w:pPr>
              <w:spacing w:after="0" w:before="120"/>
            </w:pPr>
            <w:r>
              <w:rPr>
                <w:rFonts w:ascii="Times New Roman" w:cs="Times New Roman" w:eastAsia="Times New Roman" w:hAnsi="Times New Roman"/>
                <w:sz w:val="20"/>
                <w:szCs w:val="20"/>
              </w:rPr>
              <w:t xml:space="preserve"/>
            </w:r>
          </w:p>
          <w:p>
            <w:pPr>
              <w:spacing w:after="40" w:before="0"/>
            </w:pPr>
            <w:r>
              <w:rPr>
                <w:rFonts w:ascii="Times New Roman" w:cs="Times New Roman" w:eastAsia="Times New Roman" w:hAnsi="Times New Roman"/>
                <w:sz w:val="20"/>
                <w:szCs w:val="20"/>
              </w:rPr>
              <w:t xml:space="preserve">________________________</w:t>
            </w:r>
          </w:p>
        </w:tc>
      </w:tr>
      <w:tr>
        <w:tc>
          <w:tcPr>
            <w:tcW w:type="dxa" w:w="4320"/>
            <w:tcBorders>
              <w:top w:val="single" w:color="CCCCCC" w:sz="4"/>
              <w:left w:val="single" w:color="CCCCCC" w:sz="4"/>
              <w:bottom w:val="single" w:color="CCCCCC" w:sz="4"/>
              <w:right w:val="single" w:color="CCCCCC" w:sz="4"/>
            </w:tcBorders>
            <w:shd w:fill="F9F9F9" w:val="clear"/>
            <w:tcMar>
              <w:top w:type="dxa" w:w="120"/>
              <w:left w:type="dxa" w:w="200"/>
              <w:bottom w:type="dxa" w:w="120"/>
              <w:right w:type="dxa" w:w="200"/>
            </w:tcMar>
          </w:tcPr>
          <w:p>
            <w:pPr>
              <w:spacing w:after="80" w:before="80" w:line="276"/>
            </w:pPr>
            <w:r>
              <w:rPr>
                <w:rFonts w:ascii="Times New Roman" w:cs="Times New Roman" w:eastAsia="Times New Roman" w:hAnsi="Times New Roman"/>
                <w:sz w:val="20"/>
                <w:szCs w:val="20"/>
              </w:rPr>
              <w:t xml:space="preserve">Title:</w:t>
            </w:r>
          </w:p>
          <w:p>
            <w:pPr>
              <w:spacing w:after="0" w:before="120"/>
            </w:pPr>
            <w:r>
              <w:rPr>
                <w:rFonts w:ascii="Times New Roman" w:cs="Times New Roman" w:eastAsia="Times New Roman" w:hAnsi="Times New Roman"/>
                <w:sz w:val="20"/>
                <w:szCs w:val="20"/>
              </w:rPr>
              <w:t xml:space="preserve"/>
            </w:r>
          </w:p>
          <w:p>
            <w:pPr>
              <w:spacing w:after="40" w:before="0"/>
            </w:pPr>
            <w:r>
              <w:rPr>
                <w:rFonts w:ascii="Times New Roman" w:cs="Times New Roman" w:eastAsia="Times New Roman" w:hAnsi="Times New Roman"/>
                <w:sz w:val="20"/>
                <w:szCs w:val="20"/>
              </w:rPr>
              <w:t xml:space="preserve">________________________</w:t>
            </w:r>
          </w:p>
        </w:tc>
        <w:tc>
          <w:tcPr>
            <w:tcW w:type="dxa" w:w="4320"/>
            <w:tcBorders>
              <w:top w:val="single" w:color="CCCCCC" w:sz="4"/>
              <w:left w:val="single" w:color="CCCCCC" w:sz="4"/>
              <w:bottom w:val="single" w:color="CCCCCC" w:sz="4"/>
              <w:right w:val="single" w:color="CCCCCC" w:sz="4"/>
            </w:tcBorders>
            <w:shd w:fill="F9F9F9" w:val="clear"/>
            <w:tcMar>
              <w:top w:type="dxa" w:w="120"/>
              <w:left w:type="dxa" w:w="200"/>
              <w:bottom w:type="dxa" w:w="120"/>
              <w:right w:type="dxa" w:w="200"/>
            </w:tcMar>
          </w:tcPr>
          <w:p>
            <w:pPr>
              <w:spacing w:after="80" w:before="80" w:line="276"/>
            </w:pPr>
            <w:r>
              <w:rPr>
                <w:rFonts w:ascii="Times New Roman" w:cs="Times New Roman" w:eastAsia="Times New Roman" w:hAnsi="Times New Roman"/>
                <w:sz w:val="20"/>
                <w:szCs w:val="20"/>
              </w:rPr>
              <w:t xml:space="preserve">Title:</w:t>
            </w:r>
          </w:p>
          <w:p>
            <w:pPr>
              <w:spacing w:after="0" w:before="120"/>
            </w:pPr>
            <w:r>
              <w:rPr>
                <w:rFonts w:ascii="Times New Roman" w:cs="Times New Roman" w:eastAsia="Times New Roman" w:hAnsi="Times New Roman"/>
                <w:sz w:val="20"/>
                <w:szCs w:val="20"/>
              </w:rPr>
              <w:t xml:space="preserve"/>
            </w:r>
          </w:p>
          <w:p>
            <w:pPr>
              <w:spacing w:after="40" w:before="0"/>
            </w:pPr>
            <w:r>
              <w:rPr>
                <w:rFonts w:ascii="Times New Roman" w:cs="Times New Roman" w:eastAsia="Times New Roman" w:hAnsi="Times New Roman"/>
                <w:sz w:val="20"/>
                <w:szCs w:val="20"/>
              </w:rPr>
              <w:t xml:space="preserve">________________________</w:t>
            </w:r>
          </w:p>
        </w:tc>
      </w:tr>
      <w:tr>
        <w:tc>
          <w:tcPr>
            <w:tcW w:type="dxa" w:w="4320"/>
            <w:tcBorders>
              <w:top w:val="single" w:color="CCCCCC" w:sz="4"/>
              <w:left w:val="single" w:color="CCCCCC" w:sz="4"/>
              <w:bottom w:val="single" w:color="CCCCCC" w:sz="4"/>
              <w:right w:val="single" w:color="CCCCCC" w:sz="4"/>
            </w:tcBorders>
            <w:shd w:fill="F9F9F9" w:val="clear"/>
            <w:tcMar>
              <w:top w:type="dxa" w:w="120"/>
              <w:left w:type="dxa" w:w="200"/>
              <w:bottom w:type="dxa" w:w="120"/>
              <w:right w:type="dxa" w:w="200"/>
            </w:tcMar>
          </w:tcPr>
          <w:p>
            <w:pPr>
              <w:spacing w:after="80" w:before="80" w:line="276"/>
            </w:pPr>
            <w:r>
              <w:rPr>
                <w:rFonts w:ascii="Times New Roman" w:cs="Times New Roman" w:eastAsia="Times New Roman" w:hAnsi="Times New Roman"/>
                <w:sz w:val="20"/>
                <w:szCs w:val="20"/>
              </w:rPr>
              <w:t xml:space="preserve">Date:</w:t>
            </w:r>
          </w:p>
          <w:p>
            <w:pPr>
              <w:spacing w:after="0" w:before="120"/>
            </w:pPr>
            <w:r>
              <w:rPr>
                <w:rFonts w:ascii="Times New Roman" w:cs="Times New Roman" w:eastAsia="Times New Roman" w:hAnsi="Times New Roman"/>
                <w:sz w:val="20"/>
                <w:szCs w:val="20"/>
              </w:rPr>
              <w:t xml:space="preserve"/>
            </w:r>
          </w:p>
          <w:p>
            <w:pPr>
              <w:spacing w:after="40" w:before="0"/>
            </w:pPr>
            <w:r>
              <w:rPr>
                <w:rFonts w:ascii="Times New Roman" w:cs="Times New Roman" w:eastAsia="Times New Roman" w:hAnsi="Times New Roman"/>
                <w:sz w:val="20"/>
                <w:szCs w:val="20"/>
              </w:rPr>
              <w:t xml:space="preserve">________________________</w:t>
            </w:r>
          </w:p>
        </w:tc>
        <w:tc>
          <w:tcPr>
            <w:tcW w:type="dxa" w:w="4320"/>
            <w:tcBorders>
              <w:top w:val="single" w:color="CCCCCC" w:sz="4"/>
              <w:left w:val="single" w:color="CCCCCC" w:sz="4"/>
              <w:bottom w:val="single" w:color="CCCCCC" w:sz="4"/>
              <w:right w:val="single" w:color="CCCCCC" w:sz="4"/>
            </w:tcBorders>
            <w:shd w:fill="F9F9F9" w:val="clear"/>
            <w:tcMar>
              <w:top w:type="dxa" w:w="120"/>
              <w:left w:type="dxa" w:w="200"/>
              <w:bottom w:type="dxa" w:w="120"/>
              <w:right w:type="dxa" w:w="200"/>
            </w:tcMar>
          </w:tcPr>
          <w:p>
            <w:pPr>
              <w:spacing w:after="80" w:before="80" w:line="276"/>
            </w:pPr>
            <w:r>
              <w:rPr>
                <w:rFonts w:ascii="Times New Roman" w:cs="Times New Roman" w:eastAsia="Times New Roman" w:hAnsi="Times New Roman"/>
                <w:sz w:val="20"/>
                <w:szCs w:val="20"/>
              </w:rPr>
              <w:t xml:space="preserve">Date:</w:t>
            </w:r>
          </w:p>
          <w:p>
            <w:pPr>
              <w:spacing w:after="0" w:before="120"/>
            </w:pPr>
            <w:r>
              <w:rPr>
                <w:rFonts w:ascii="Times New Roman" w:cs="Times New Roman" w:eastAsia="Times New Roman" w:hAnsi="Times New Roman"/>
                <w:sz w:val="20"/>
                <w:szCs w:val="20"/>
              </w:rPr>
              <w:t xml:space="preserve"/>
            </w:r>
          </w:p>
          <w:p>
            <w:pPr>
              <w:spacing w:after="40" w:before="0"/>
            </w:pPr>
            <w:r>
              <w:rPr>
                <w:rFonts w:ascii="Times New Roman" w:cs="Times New Roman" w:eastAsia="Times New Roman" w:hAnsi="Times New Roman"/>
                <w:sz w:val="20"/>
                <w:szCs w:val="20"/>
              </w:rPr>
              <w:t xml:space="preserve">________________________</w:t>
            </w:r>
          </w:p>
        </w:tc>
      </w:tr>
    </w:tbl>
    <w:p>
      <w:pPr>
        <w:sectPr>
          <w:headerReference w:type="default" r:id="rId7"/>
          <w:footerReference w:type="default" r:id="rId8"/>
          <w:pgSz w:w="12240" w:h="15840" w:orient="portrait"/>
          <w:pgMar w:top="1440" w:right="1440" w:bottom="1440" w:left="1440" w:header="708" w:footer="708" w:gutter="0"/>
          <w:pgNumType/>
          <w:docGrid w:linePitch="360"/>
        </w:sectPr>
      </w:pPr>
    </w:p>
    <w:p>
      <w:pPr>
        <w:spacing w:after="60" w:before="0"/>
        <w:jc w:val="center"/>
      </w:pPr>
      <w:r>
        <w:rPr>
          <w:rFonts w:ascii="Times New Roman" w:cs="Times New Roman" w:eastAsia="Times New Roman" w:hAnsi="Times New Roman"/>
          <w:b/>
          <w:bCs/>
          <w:sz w:val="28"/>
          <w:szCs w:val="28"/>
        </w:rPr>
        <w:t xml:space="preserve">DUNDER AI INC. &amp; INITECH FINANCIAL GROUP INC.</w:t>
      </w:r>
    </w:p>
    <w:p>
      <w:pPr>
        <w:spacing w:after="240" w:before="0"/>
        <w:jc w:val="center"/>
      </w:pPr>
      <w:r>
        <w:rPr>
          <w:rFonts w:ascii="Times New Roman" w:cs="Times New Roman" w:eastAsia="Times New Roman" w:hAnsi="Times New Roman"/>
          <w:b/>
          <w:bCs/>
          <w:sz w:val="26"/>
          <w:szCs w:val="26"/>
        </w:rPr>
        <w:t xml:space="preserve">MASTER SERVICE AGREEMENT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1F3864" w:sz="6"/>
              <w:left w:val="single" w:color="1F3864" w:sz="6"/>
              <w:bottom w:val="single" w:color="1F3864" w:sz="6"/>
              <w:right w:val="single" w:color="1F3864" w:sz="6"/>
            </w:tcBorders>
            <w:shd w:fill="EEF2F7" w:val="clear"/>
            <w:tcMar>
              <w:top w:type="dxa" w:w="160"/>
              <w:left w:type="dxa" w:w="240"/>
              <w:bottom w:type="dxa" w:w="160"/>
              <w:right w:type="dxa" w:w="240"/>
            </w:tcMar>
          </w:tcPr>
          <w:p>
            <w:pPr>
              <w:spacing w:after="40" w:before="40"/>
            </w:pPr>
            <w:r>
              <w:rPr>
                <w:rFonts w:ascii="Times New Roman" w:cs="Times New Roman" w:eastAsia="Times New Roman" w:hAnsi="Times New Roman"/>
                <w:i/>
                <w:iCs/>
                <w:color w:val="4A4A4A"/>
                <w:sz w:val="18"/>
                <w:szCs w:val="18"/>
              </w:rPr>
              <w:t xml:space="preserve">Preliminary Note. This Master Service Agreement governs the provision of Dunder AI's AI-powered</w:t>
            </w:r>
          </w:p>
          <w:p>
            <w:pPr>
              <w:spacing w:after="40" w:before="40"/>
            </w:pPr>
            <w:r>
              <w:rPr>
                <w:rFonts w:ascii="Times New Roman" w:cs="Times New Roman" w:eastAsia="Times New Roman" w:hAnsi="Times New Roman"/>
                <w:i/>
                <w:iCs/>
                <w:color w:val="4A4A4A"/>
                <w:sz w:val="18"/>
                <w:szCs w:val="18"/>
              </w:rPr>
              <w:t xml:space="preserve">contract review platform to Initech Financial Group for a two-year initial term at $180,000 CAD ARR.</w:t>
            </w:r>
          </w:p>
          <w:p>
            <w:pPr>
              <w:spacing w:after="40" w:before="40"/>
            </w:pPr>
            <w:r>
              <w:rPr>
                <w:rFonts w:ascii="Times New Roman" w:cs="Times New Roman" w:eastAsia="Times New Roman" w:hAnsi="Times New Roman"/>
                <w:i/>
                <w:iCs/>
                <w:color w:val="4A4A4A"/>
                <w:sz w:val="18"/>
                <w:szCs w:val="18"/>
              </w:rPr>
              <w:t xml:space="preserve">This document reflects Initech's enterprise requirements as an OSFI-regulated institution. Key negotiated</w:t>
            </w:r>
          </w:p>
          <w:p>
            <w:pPr>
              <w:spacing w:after="40" w:before="40"/>
            </w:pPr>
            <w:r>
              <w:rPr>
                <w:rFonts w:ascii="Times New Roman" w:cs="Times New Roman" w:eastAsia="Times New Roman" w:hAnsi="Times New Roman"/>
                <w:i/>
                <w:iCs/>
                <w:color w:val="4A4A4A"/>
                <w:sz w:val="18"/>
                <w:szCs w:val="18"/>
              </w:rPr>
              <w:t xml:space="preserve">terms include: 99.9% uptime SLA; 24/7 support with hourly SLAs; uncapped data breach liability;</w:t>
            </w:r>
          </w:p>
          <w:p>
            <w:pPr>
              <w:spacing w:after="40" w:before="40"/>
            </w:pPr>
            <w:r>
              <w:rPr>
                <w:rFonts w:ascii="Times New Roman" w:cs="Times New Roman" w:eastAsia="Times New Roman" w:hAnsi="Times New Roman"/>
                <w:i/>
                <w:iCs/>
                <w:color w:val="4A4A4A"/>
                <w:sz w:val="18"/>
                <w:szCs w:val="18"/>
              </w:rPr>
              <w:t xml:space="preserve">client ownership of custom-funded development; feedback use restrictions; Net 60 payment; convenience</w:t>
            </w:r>
          </w:p>
          <w:p>
            <w:pPr>
              <w:spacing w:after="40" w:before="40"/>
            </w:pPr>
            <w:r>
              <w:rPr>
                <w:rFonts w:ascii="Times New Roman" w:cs="Times New Roman" w:eastAsia="Times New Roman" w:hAnsi="Times New Roman"/>
                <w:i/>
                <w:iCs/>
                <w:color w:val="4A4A4A"/>
                <w:sz w:val="18"/>
                <w:szCs w:val="18"/>
              </w:rPr>
              <w:t xml:space="preserve">termination for Initech; data residency in Ontario; minimum insurance requirements; and step-in rights.</w:t>
            </w:r>
          </w:p>
          <w:p>
            <w:pPr>
              <w:spacing w:after="40" w:before="40"/>
            </w:pPr>
            <w:r>
              <w:rPr>
                <w:rFonts w:ascii="Times New Roman" w:cs="Times New Roman" w:eastAsia="Times New Roman" w:hAnsi="Times New Roman"/>
                <w:i/>
                <w:iCs/>
                <w:color w:val="4A4A4A"/>
                <w:sz w:val="18"/>
                <w:szCs w:val="18"/>
              </w:rPr>
              <w:t xml:space="preserve">Vendor should carefully assess its operational capacity against each SLA commitment before execution.</w:t>
            </w:r>
          </w:p>
          <w:p>
            <w:pPr>
              <w:spacing w:after="40" w:before="40"/>
            </w:pPr>
            <w:r>
              <w:rPr>
                <w:rFonts w:ascii="Times New Roman" w:cs="Times New Roman" w:eastAsia="Times New Roman" w:hAnsi="Times New Roman"/>
                <w:i/>
                <w:iCs/>
                <w:color w:val="4A4A4A"/>
                <w:sz w:val="18"/>
                <w:szCs w:val="18"/>
              </w:rPr>
              <w:t xml:space="preserve">This document should not be construed as legal advice.</w:t>
            </w:r>
          </w:p>
        </w:tc>
      </w:tr>
    </w:tbl>
    <w:p>
      <w:pPr>
        <w:spacing w:after="0" w:before="0"/>
      </w:pPr>
      <w:r>
        <w:rPr>
          <w:rFonts w:ascii="Times New Roman" w:cs="Times New Roman" w:eastAsia="Times New Roman" w:hAnsi="Times New Roman"/>
          <w:sz w:val="20"/>
          <w:szCs w:val="20"/>
        </w:rPr>
        <w:t xml:space="preserve"/>
      </w:r>
    </w:p>
    <w:p>
      <w:pPr>
        <w:spacing w:after="80" w:before="80" w:line="276"/>
      </w:pPr>
      <w:r>
        <w:rPr>
          <w:rFonts w:ascii="Times New Roman" w:cs="Times New Roman" w:eastAsia="Times New Roman" w:hAnsi="Times New Roman"/>
          <w:b/>
          <w:bCs/>
          <w:sz w:val="20"/>
          <w:szCs w:val="20"/>
        </w:rPr>
        <w:t xml:space="preserve">This Master Service Agreement </w:t>
      </w:r>
      <w:r>
        <w:rPr>
          <w:rFonts w:ascii="Times New Roman" w:cs="Times New Roman" w:eastAsia="Times New Roman" w:hAnsi="Times New Roman"/>
          <w:sz w:val="20"/>
          <w:szCs w:val="20"/>
        </w:rPr>
        <w:t xml:space="preserve">(the </w:t>
      </w:r>
      <w:r>
        <w:rPr>
          <w:rFonts w:ascii="Times New Roman" w:cs="Times New Roman" w:eastAsia="Times New Roman" w:hAnsi="Times New Roman"/>
          <w:b/>
          <w:bCs/>
          <w:sz w:val="20"/>
          <w:szCs w:val="20"/>
        </w:rPr>
        <w:t xml:space="preserve">"Agreement"</w:t>
      </w:r>
      <w:r>
        <w:rPr>
          <w:rFonts w:ascii="Times New Roman" w:cs="Times New Roman" w:eastAsia="Times New Roman" w:hAnsi="Times New Roman"/>
          <w:sz w:val="20"/>
          <w:szCs w:val="20"/>
        </w:rPr>
        <w:t xml:space="preserve">) is entered into as of the date last signed below (the </w:t>
      </w:r>
      <w:r>
        <w:rPr>
          <w:rFonts w:ascii="Times New Roman" w:cs="Times New Roman" w:eastAsia="Times New Roman" w:hAnsi="Times New Roman"/>
          <w:b/>
          <w:bCs/>
          <w:sz w:val="20"/>
          <w:szCs w:val="20"/>
        </w:rPr>
        <w:t xml:space="preserve">"Effective Date"</w:t>
      </w:r>
      <w:r>
        <w:rPr>
          <w:rFonts w:ascii="Times New Roman" w:cs="Times New Roman" w:eastAsia="Times New Roman" w:hAnsi="Times New Roman"/>
          <w:sz w:val="20"/>
          <w:szCs w:val="20"/>
        </w:rPr>
        <w:t xml:space="preserve">) between:</w:t>
      </w:r>
    </w:p>
    <w:p>
      <w:pPr>
        <w:spacing w:after="0" w:before="0"/>
      </w:pPr>
      <w:r>
        <w:rPr>
          <w:rFonts w:ascii="Times New Roman" w:cs="Times New Roman" w:eastAsia="Times New Roman" w:hAnsi="Times New Roman"/>
          <w:sz w:val="20"/>
          <w:szCs w:val="20"/>
        </w:rPr>
        <w:t xml:space="preserve"/>
      </w:r>
    </w:p>
    <w:p>
      <w:pPr>
        <w:spacing w:after="80" w:before="80" w:line="276"/>
      </w:pPr>
      <w:r>
        <w:rPr>
          <w:rFonts w:ascii="Times New Roman" w:cs="Times New Roman" w:eastAsia="Times New Roman" w:hAnsi="Times New Roman"/>
          <w:b/>
          <w:bCs/>
          <w:sz w:val="20"/>
          <w:szCs w:val="20"/>
        </w:rPr>
        <w:t xml:space="preserve">Dunder AI Inc.</w:t>
      </w:r>
      <w:r>
        <w:rPr>
          <w:rFonts w:ascii="Times New Roman" w:cs="Times New Roman" w:eastAsia="Times New Roman" w:hAnsi="Times New Roman"/>
          <w:sz w:val="20"/>
          <w:szCs w:val="20"/>
        </w:rPr>
        <w:t xml:space="preserve">, a corporation incorporated under the laws of Ontario, with its principal place of business at 200 King Street West, Suite 400, Toronto, Ontario M5H 3T4 (</w:t>
      </w:r>
      <w:r>
        <w:rPr>
          <w:rFonts w:ascii="Times New Roman" w:cs="Times New Roman" w:eastAsia="Times New Roman" w:hAnsi="Times New Roman"/>
          <w:b/>
          <w:bCs/>
          <w:sz w:val="20"/>
          <w:szCs w:val="20"/>
        </w:rPr>
        <w:t xml:space="preserve">"Vendor"</w:t>
      </w:r>
      <w:r>
        <w:rPr>
          <w:rFonts w:ascii="Times New Roman" w:cs="Times New Roman" w:eastAsia="Times New Roman" w:hAnsi="Times New Roman"/>
          <w:sz w:val="20"/>
          <w:szCs w:val="20"/>
        </w:rPr>
        <w:t xml:space="preserve">); and</w:t>
      </w:r>
    </w:p>
    <w:p>
      <w:pPr>
        <w:spacing w:after="0" w:before="0"/>
      </w:pPr>
      <w:r>
        <w:rPr>
          <w:rFonts w:ascii="Times New Roman" w:cs="Times New Roman" w:eastAsia="Times New Roman" w:hAnsi="Times New Roman"/>
          <w:sz w:val="20"/>
          <w:szCs w:val="20"/>
        </w:rPr>
        <w:t xml:space="preserve"/>
      </w:r>
    </w:p>
    <w:p>
      <w:pPr>
        <w:spacing w:after="80" w:before="80" w:line="276"/>
      </w:pPr>
      <w:r>
        <w:rPr>
          <w:rFonts w:ascii="Times New Roman" w:cs="Times New Roman" w:eastAsia="Times New Roman" w:hAnsi="Times New Roman"/>
          <w:b/>
          <w:bCs/>
          <w:sz w:val="20"/>
          <w:szCs w:val="20"/>
        </w:rPr>
        <w:t xml:space="preserve">Initech Financial Group Inc.</w:t>
      </w:r>
      <w:r>
        <w:rPr>
          <w:rFonts w:ascii="Times New Roman" w:cs="Times New Roman" w:eastAsia="Times New Roman" w:hAnsi="Times New Roman"/>
          <w:sz w:val="20"/>
          <w:szCs w:val="20"/>
        </w:rPr>
        <w:t xml:space="preserve">, a corporation incorporated under the laws of Ontario, with its principal place of business at 100 Wellington Street West, Toronto, Ontario M5K 1J3 (</w:t>
      </w:r>
      <w:r>
        <w:rPr>
          <w:rFonts w:ascii="Times New Roman" w:cs="Times New Roman" w:eastAsia="Times New Roman" w:hAnsi="Times New Roman"/>
          <w:b/>
          <w:bCs/>
          <w:sz w:val="20"/>
          <w:szCs w:val="20"/>
        </w:rPr>
        <w:t xml:space="preserve">"Client"</w:t>
      </w:r>
      <w:r>
        <w:rPr>
          <w:rFonts w:ascii="Times New Roman" w:cs="Times New Roman" w:eastAsia="Times New Roman" w:hAnsi="Times New Roman"/>
          <w:sz w:val="20"/>
          <w:szCs w:val="20"/>
        </w:rPr>
        <w:t xml:space="preserve">).</w:t>
      </w:r>
    </w:p>
    <w:p>
      <w:pPr>
        <w:pStyle w:val="Heading1"/>
        <w:pBdr>
          <w:bottom w:val="single" w:color="1F3864" w:sz="4" w:space="4"/>
        </w:pBdr>
        <w:spacing w:after="120" w:before="360"/>
        <w:outlineLvl w:val="0"/>
      </w:pPr>
      <w:r>
        <w:rPr>
          <w:rFonts w:ascii="Times New Roman" w:cs="Times New Roman" w:eastAsia="Times New Roman" w:hAnsi="Times New Roman"/>
          <w:b/>
          <w:bCs/>
          <w:color w:val="1F3864"/>
          <w:sz w:val="24"/>
          <w:szCs w:val="24"/>
        </w:rPr>
        <w:t xml:space="preserve">1.  DEFINITIONS</w:t>
      </w:r>
    </w:p>
    <w:p>
      <w:pPr>
        <w:spacing w:after="80" w:before="80" w:line="276"/>
      </w:pPr>
      <w:r>
        <w:rPr>
          <w:rFonts w:ascii="Times New Roman" w:cs="Times New Roman" w:eastAsia="Times New Roman" w:hAnsi="Times New Roman"/>
          <w:b/>
          <w:bCs/>
          <w:sz w:val="20"/>
          <w:szCs w:val="20"/>
        </w:rPr>
        <w:t xml:space="preserve">1.1  </w:t>
      </w:r>
      <w:r>
        <w:rPr>
          <w:rFonts w:ascii="Times New Roman" w:cs="Times New Roman" w:eastAsia="Times New Roman" w:hAnsi="Times New Roman"/>
          <w:sz w:val="20"/>
          <w:szCs w:val="20"/>
        </w:rPr>
        <w:t xml:space="preserve">"</w:t>
      </w:r>
      <w:r>
        <w:rPr>
          <w:rFonts w:ascii="Times New Roman" w:cs="Times New Roman" w:eastAsia="Times New Roman" w:hAnsi="Times New Roman"/>
          <w:b/>
          <w:bCs/>
          <w:sz w:val="20"/>
          <w:szCs w:val="20"/>
        </w:rPr>
        <w:t xml:space="preserve">Services</w:t>
      </w:r>
      <w:r>
        <w:rPr>
          <w:rFonts w:ascii="Times New Roman" w:cs="Times New Roman" w:eastAsia="Times New Roman" w:hAnsi="Times New Roman"/>
          <w:sz w:val="20"/>
          <w:szCs w:val="20"/>
        </w:rPr>
        <w:t xml:space="preserve">" means the software-as-a-service platform and related professional services described in one or more Order Forms entered into under this Agreement.</w:t>
      </w:r>
    </w:p>
    <w:p>
      <w:pPr>
        <w:spacing w:after="80" w:before="80" w:line="276"/>
      </w:pPr>
      <w:r>
        <w:rPr>
          <w:rFonts w:ascii="Times New Roman" w:cs="Times New Roman" w:eastAsia="Times New Roman" w:hAnsi="Times New Roman"/>
          <w:b/>
          <w:bCs/>
          <w:sz w:val="20"/>
          <w:szCs w:val="20"/>
        </w:rPr>
        <w:t xml:space="preserve">1.2  </w:t>
      </w:r>
      <w:r>
        <w:rPr>
          <w:rFonts w:ascii="Times New Roman" w:cs="Times New Roman" w:eastAsia="Times New Roman" w:hAnsi="Times New Roman"/>
          <w:sz w:val="20"/>
          <w:szCs w:val="20"/>
        </w:rPr>
        <w:t xml:space="preserve">"</w:t>
      </w:r>
      <w:r>
        <w:rPr>
          <w:rFonts w:ascii="Times New Roman" w:cs="Times New Roman" w:eastAsia="Times New Roman" w:hAnsi="Times New Roman"/>
          <w:b/>
          <w:bCs/>
          <w:sz w:val="20"/>
          <w:szCs w:val="20"/>
        </w:rPr>
        <w:t xml:space="preserve">Order Form</w:t>
      </w:r>
      <w:r>
        <w:rPr>
          <w:rFonts w:ascii="Times New Roman" w:cs="Times New Roman" w:eastAsia="Times New Roman" w:hAnsi="Times New Roman"/>
          <w:sz w:val="20"/>
          <w:szCs w:val="20"/>
        </w:rPr>
        <w:t xml:space="preserve">" means a document executed by both parties specifying the Services, fees, and any additional terms for a particular engagement.</w:t>
      </w:r>
    </w:p>
    <w:p>
      <w:pPr>
        <w:spacing w:after="80" w:before="80" w:line="276"/>
      </w:pPr>
      <w:r>
        <w:rPr>
          <w:rFonts w:ascii="Times New Roman" w:cs="Times New Roman" w:eastAsia="Times New Roman" w:hAnsi="Times New Roman"/>
          <w:b/>
          <w:bCs/>
          <w:sz w:val="20"/>
          <w:szCs w:val="20"/>
        </w:rPr>
        <w:t xml:space="preserve">1.3  </w:t>
      </w:r>
      <w:r>
        <w:rPr>
          <w:rFonts w:ascii="Times New Roman" w:cs="Times New Roman" w:eastAsia="Times New Roman" w:hAnsi="Times New Roman"/>
          <w:sz w:val="20"/>
          <w:szCs w:val="20"/>
        </w:rPr>
        <w:t xml:space="preserve">"</w:t>
      </w:r>
      <w:r>
        <w:rPr>
          <w:rFonts w:ascii="Times New Roman" w:cs="Times New Roman" w:eastAsia="Times New Roman" w:hAnsi="Times New Roman"/>
          <w:b/>
          <w:bCs/>
          <w:sz w:val="20"/>
          <w:szCs w:val="20"/>
        </w:rPr>
        <w:t xml:space="preserve">Client Data</w:t>
      </w:r>
      <w:r>
        <w:rPr>
          <w:rFonts w:ascii="Times New Roman" w:cs="Times New Roman" w:eastAsia="Times New Roman" w:hAnsi="Times New Roman"/>
          <w:sz w:val="20"/>
          <w:szCs w:val="20"/>
        </w:rPr>
        <w:t xml:space="preserve">" means any data, documents, or content uploaded to the platform by Client or its authorized users.</w:t>
      </w:r>
    </w:p>
    <w:p>
      <w:pPr>
        <w:spacing w:after="80" w:before="80" w:line="276"/>
      </w:pPr>
      <w:r>
        <w:rPr>
          <w:rFonts w:ascii="Times New Roman" w:cs="Times New Roman" w:eastAsia="Times New Roman" w:hAnsi="Times New Roman"/>
          <w:b/>
          <w:bCs/>
          <w:sz w:val="20"/>
          <w:szCs w:val="20"/>
        </w:rPr>
        <w:t xml:space="preserve">1.4  </w:t>
      </w:r>
      <w:r>
        <w:rPr>
          <w:rFonts w:ascii="Times New Roman" w:cs="Times New Roman" w:eastAsia="Times New Roman" w:hAnsi="Times New Roman"/>
          <w:sz w:val="20"/>
          <w:szCs w:val="20"/>
        </w:rPr>
        <w:t xml:space="preserve">"</w:t>
      </w:r>
      <w:r>
        <w:rPr>
          <w:rFonts w:ascii="Times New Roman" w:cs="Times New Roman" w:eastAsia="Times New Roman" w:hAnsi="Times New Roman"/>
          <w:b/>
          <w:bCs/>
          <w:sz w:val="20"/>
          <w:szCs w:val="20"/>
        </w:rPr>
        <w:t xml:space="preserve">Documentation</w:t>
      </w:r>
      <w:r>
        <w:rPr>
          <w:rFonts w:ascii="Times New Roman" w:cs="Times New Roman" w:eastAsia="Times New Roman" w:hAnsi="Times New Roman"/>
          <w:sz w:val="20"/>
          <w:szCs w:val="20"/>
        </w:rPr>
        <w:t xml:space="preserve">" means the technical and user documentation made available by Vendor for the Services.</w:t>
      </w:r>
    </w:p>
    <w:p>
      <w:pPr>
        <w:spacing w:after="80" w:before="80" w:line="276"/>
      </w:pPr>
      <w:r>
        <w:rPr>
          <w:rFonts w:ascii="Times New Roman" w:cs="Times New Roman" w:eastAsia="Times New Roman" w:hAnsi="Times New Roman"/>
          <w:b/>
          <w:bCs/>
          <w:sz w:val="20"/>
          <w:szCs w:val="20"/>
        </w:rPr>
        <w:t xml:space="preserve">1.5  </w:t>
      </w:r>
      <w:r>
        <w:rPr>
          <w:rFonts w:ascii="Times New Roman" w:cs="Times New Roman" w:eastAsia="Times New Roman" w:hAnsi="Times New Roman"/>
          <w:sz w:val="20"/>
          <w:szCs w:val="20"/>
        </w:rPr>
        <w:t xml:space="preserve">"</w:t>
      </w:r>
      <w:r>
        <w:rPr>
          <w:rFonts w:ascii="Times New Roman" w:cs="Times New Roman" w:eastAsia="Times New Roman" w:hAnsi="Times New Roman"/>
          <w:b/>
          <w:bCs/>
          <w:sz w:val="20"/>
          <w:szCs w:val="20"/>
        </w:rPr>
        <w:t xml:space="preserve">Intellectual Property Rights</w:t>
      </w:r>
      <w:r>
        <w:rPr>
          <w:rFonts w:ascii="Times New Roman" w:cs="Times New Roman" w:eastAsia="Times New Roman" w:hAnsi="Times New Roman"/>
          <w:sz w:val="20"/>
          <w:szCs w:val="20"/>
        </w:rPr>
        <w:t xml:space="preserve">" means all patents, copyrights, trademarks, trade secrets, and other intellectual property rights recognized under applicable law.</w:t>
      </w:r>
    </w:p>
    <w:p>
      <w:pPr>
        <w:spacing w:after="80" w:before="80" w:line="276"/>
      </w:pPr>
      <w:r>
        <w:rPr>
          <w:rFonts w:ascii="Times New Roman" w:cs="Times New Roman" w:eastAsia="Times New Roman" w:hAnsi="Times New Roman"/>
          <w:b/>
          <w:bCs/>
          <w:sz w:val="20"/>
          <w:szCs w:val="20"/>
        </w:rPr>
        <w:t xml:space="preserve">1.6  </w:t>
      </w:r>
      <w:r>
        <w:rPr>
          <w:rFonts w:ascii="Times New Roman" w:cs="Times New Roman" w:eastAsia="Times New Roman" w:hAnsi="Times New Roman"/>
          <w:sz w:val="20"/>
          <w:szCs w:val="20"/>
        </w:rPr>
        <w:t xml:space="preserve">"</w:t>
      </w:r>
      <w:r>
        <w:rPr>
          <w:rFonts w:ascii="Times New Roman" w:cs="Times New Roman" w:eastAsia="Times New Roman" w:hAnsi="Times New Roman"/>
          <w:b/>
          <w:bCs/>
          <w:sz w:val="20"/>
          <w:szCs w:val="20"/>
        </w:rPr>
        <w:t xml:space="preserve">Custom Developments</w:t>
      </w:r>
      <w:r>
        <w:rPr>
          <w:rFonts w:ascii="Times New Roman" w:cs="Times New Roman" w:eastAsia="Times New Roman" w:hAnsi="Times New Roman"/>
          <w:sz w:val="20"/>
          <w:szCs w:val="20"/>
        </w:rPr>
        <w:t xml:space="preserve">" means any custom features, configurations, or modules developed specifically for Client and funded by Client fees, as identified in an Order Form.</w:t>
      </w:r>
    </w:p>
    <w:p>
      <w:pPr>
        <w:spacing w:after="80" w:before="80" w:line="276"/>
      </w:pPr>
      <w:r>
        <w:rPr>
          <w:rFonts w:ascii="Times New Roman" w:cs="Times New Roman" w:eastAsia="Times New Roman" w:hAnsi="Times New Roman"/>
          <w:b/>
          <w:bCs/>
          <w:sz w:val="20"/>
          <w:szCs w:val="20"/>
        </w:rPr>
        <w:t xml:space="preserve">1.7  </w:t>
      </w:r>
      <w:r>
        <w:rPr>
          <w:rFonts w:ascii="Times New Roman" w:cs="Times New Roman" w:eastAsia="Times New Roman" w:hAnsi="Times New Roman"/>
          <w:sz w:val="20"/>
          <w:szCs w:val="20"/>
        </w:rPr>
        <w:t xml:space="preserve">"</w:t>
      </w:r>
      <w:r>
        <w:rPr>
          <w:rFonts w:ascii="Times New Roman" w:cs="Times New Roman" w:eastAsia="Times New Roman" w:hAnsi="Times New Roman"/>
          <w:b/>
          <w:bCs/>
          <w:sz w:val="20"/>
          <w:szCs w:val="20"/>
        </w:rPr>
        <w:t xml:space="preserve">Personal Information</w:t>
      </w:r>
      <w:r>
        <w:rPr>
          <w:rFonts w:ascii="Times New Roman" w:cs="Times New Roman" w:eastAsia="Times New Roman" w:hAnsi="Times New Roman"/>
          <w:sz w:val="20"/>
          <w:szCs w:val="20"/>
        </w:rPr>
        <w:t xml:space="preserve">" has the meaning given to "personal information" under applicable privacy legislation, including the Personal Information Protection and Electronic Documents Act (PIPEDA).</w:t>
      </w:r>
    </w:p>
    <w:p>
      <w:pPr>
        <w:pStyle w:val="Heading1"/>
        <w:pBdr>
          <w:bottom w:val="single" w:color="1F3864" w:sz="4" w:space="4"/>
        </w:pBdr>
        <w:spacing w:after="120" w:before="360"/>
        <w:outlineLvl w:val="0"/>
      </w:pPr>
      <w:r>
        <w:rPr>
          <w:rFonts w:ascii="Times New Roman" w:cs="Times New Roman" w:eastAsia="Times New Roman" w:hAnsi="Times New Roman"/>
          <w:b/>
          <w:bCs/>
          <w:color w:val="1F3864"/>
          <w:sz w:val="24"/>
          <w:szCs w:val="24"/>
        </w:rPr>
        <w:t xml:space="preserve">2.  SERVICES</w:t>
      </w:r>
    </w:p>
    <w:p>
      <w:pPr>
        <w:spacing w:after="60" w:before="120"/>
      </w:pPr>
      <w:r>
        <w:rPr>
          <w:rFonts w:ascii="Times New Roman" w:cs="Times New Roman" w:eastAsia="Times New Roman" w:hAnsi="Times New Roman"/>
          <w:b/>
          <w:bCs/>
          <w:sz w:val="20"/>
          <w:szCs w:val="20"/>
        </w:rPr>
        <w:t xml:space="preserve">2.1  Provision of Services.</w:t>
      </w:r>
    </w:p>
    <w:p>
      <w:pPr>
        <w:spacing w:after="80" w:before="80" w:line="276"/>
      </w:pPr>
      <w:r>
        <w:rPr>
          <w:rFonts w:ascii="Times New Roman" w:cs="Times New Roman" w:eastAsia="Times New Roman" w:hAnsi="Times New Roman"/>
          <w:sz w:val="20"/>
          <w:szCs w:val="20"/>
        </w:rPr>
        <w:t xml:space="preserve">Vendor will make the Services available to Client in accordance with this Agreement and the applicable Order Form. Vendor will use commercially reasonable efforts to ensure the Services are available 99.9% of the time in any given calendar month, excluding scheduled maintenance windows communicated at least ten (10) business days in advance. Scheduled maintenance may not occur during business hours (Monday to Friday, 7:00 AM to 9:00 PM Eastern Time).</w:t>
      </w:r>
    </w:p>
    <w:p>
      <w:pPr>
        <w:spacing w:after="0" w:before="0"/>
      </w:pPr>
      <w:r>
        <w:rPr>
          <w:rFonts w:ascii="Times New Roman" w:cs="Times New Roman" w:eastAsia="Times New Roman" w:hAnsi="Times New Roman"/>
          <w:sz w:val="20"/>
          <w:szCs w:val="20"/>
        </w:rPr>
        <w:t xml:space="preserve"/>
      </w:r>
    </w:p>
    <w:p>
      <w:pPr>
        <w:spacing w:after="60" w:before="60" w:line="260"/>
        <w:ind w:left="720"/>
      </w:pPr>
      <w:r>
        <w:rPr>
          <w:rFonts w:ascii="Times New Roman" w:cs="Times New Roman" w:eastAsia="Times New Roman" w:hAnsi="Times New Roman"/>
          <w:i/>
          <w:iCs/>
          <w:color w:val="4A4A4A"/>
          <w:sz w:val="18"/>
          <w:szCs w:val="18"/>
        </w:rPr>
        <w:t xml:space="preserve">Note. The 99.9% uptime target equates to approximately 43.8 minutes of downtime per month — a material step up from the typical 99.5% (3.6 hours/month) in Vendor's standard terms. Vendor should assess its infrastructure and hosting architecture prior to committing to this SLA. The 10-business-day maintenance notice and business-hours blackout may require coordination with Client for any urgent hotfixes.</w:t>
      </w:r>
    </w:p>
    <w:p>
      <w:pPr>
        <w:spacing w:after="60" w:before="120"/>
      </w:pPr>
      <w:r>
        <w:rPr>
          <w:rFonts w:ascii="Times New Roman" w:cs="Times New Roman" w:eastAsia="Times New Roman" w:hAnsi="Times New Roman"/>
          <w:b/>
          <w:bCs/>
          <w:sz w:val="20"/>
          <w:szCs w:val="20"/>
        </w:rPr>
        <w:t xml:space="preserve">2.2  Professional Services.</w:t>
      </w:r>
    </w:p>
    <w:p>
      <w:pPr>
        <w:spacing w:after="80" w:before="80" w:line="276"/>
      </w:pPr>
      <w:r>
        <w:rPr>
          <w:rFonts w:ascii="Times New Roman" w:cs="Times New Roman" w:eastAsia="Times New Roman" w:hAnsi="Times New Roman"/>
          <w:sz w:val="20"/>
          <w:szCs w:val="20"/>
        </w:rPr>
        <w:t xml:space="preserve">Where an Order Form includes professional services (e.g., implementation, training, custom configuration or Custom Developments), Vendor will perform such services in a professional and workmanlike manner consistent with industry standards.</w:t>
      </w:r>
    </w:p>
    <w:p>
      <w:pPr>
        <w:spacing w:after="60" w:before="120"/>
      </w:pPr>
      <w:r>
        <w:rPr>
          <w:rFonts w:ascii="Times New Roman" w:cs="Times New Roman" w:eastAsia="Times New Roman" w:hAnsi="Times New Roman"/>
          <w:b/>
          <w:bCs/>
          <w:sz w:val="20"/>
          <w:szCs w:val="20"/>
        </w:rPr>
        <w:t xml:space="preserve">2.3  Changes to Services.</w:t>
      </w:r>
    </w:p>
    <w:p>
      <w:pPr>
        <w:spacing w:after="80" w:before="80" w:line="276"/>
      </w:pPr>
      <w:r>
        <w:rPr>
          <w:rFonts w:ascii="Times New Roman" w:cs="Times New Roman" w:eastAsia="Times New Roman" w:hAnsi="Times New Roman"/>
          <w:sz w:val="20"/>
          <w:szCs w:val="20"/>
        </w:rPr>
        <w:t xml:space="preserve">Vendor may update or modify the Services from time to time, provided that: (a) no update will materially reduce the core functionality available to Client; and (b) any modification that could affect Client's regulatory compliance obligations or materially alter the user experience requires Client's prior written approval. Vendor shall provide a written impact assessment at least ninety (90) days prior to any such change.</w:t>
      </w:r>
    </w:p>
    <w:p>
      <w:pPr>
        <w:spacing w:after="0" w:before="0"/>
      </w:pPr>
      <w:r>
        <w:rPr>
          <w:rFonts w:ascii="Times New Roman" w:cs="Times New Roman" w:eastAsia="Times New Roman" w:hAnsi="Times New Roman"/>
          <w:sz w:val="20"/>
          <w:szCs w:val="20"/>
        </w:rPr>
        <w:t xml:space="preserve"/>
      </w:r>
    </w:p>
    <w:p>
      <w:pPr>
        <w:spacing w:after="60" w:before="60" w:line="260"/>
        <w:ind w:left="720"/>
      </w:pPr>
      <w:r>
        <w:rPr>
          <w:rFonts w:ascii="Times New Roman" w:cs="Times New Roman" w:eastAsia="Times New Roman" w:hAnsi="Times New Roman"/>
          <w:i/>
          <w:iCs/>
          <w:color w:val="4A4A4A"/>
          <w:sz w:val="18"/>
          <w:szCs w:val="18"/>
        </w:rPr>
        <w:t xml:space="preserve">Note. Client approval rights over material modifications reflect Initech's regulatory environment. Vendor should establish an internal change management process to flag which product updates may require Client approval under this provision.</w:t>
      </w:r>
    </w:p>
    <w:p>
      <w:pPr>
        <w:spacing w:after="60" w:before="120"/>
      </w:pPr>
      <w:r>
        <w:rPr>
          <w:rFonts w:ascii="Times New Roman" w:cs="Times New Roman" w:eastAsia="Times New Roman" w:hAnsi="Times New Roman"/>
          <w:b/>
          <w:bCs/>
          <w:sz w:val="20"/>
          <w:szCs w:val="20"/>
        </w:rPr>
        <w:t xml:space="preserve">2.4  Support.</w:t>
      </w:r>
    </w:p>
    <w:p>
      <w:pPr>
        <w:spacing w:after="80" w:before="80" w:line="276"/>
      </w:pPr>
      <w:r>
        <w:rPr>
          <w:rFonts w:ascii="Times New Roman" w:cs="Times New Roman" w:eastAsia="Times New Roman" w:hAnsi="Times New Roman"/>
          <w:sz w:val="20"/>
          <w:szCs w:val="20"/>
        </w:rPr>
        <w:t xml:space="preserve">Vendor will provide technical support on a 24/7/365 basis with the following response time commitments: </w:t>
      </w:r>
      <w:r>
        <w:rPr>
          <w:rFonts w:ascii="Times New Roman" w:cs="Times New Roman" w:eastAsia="Times New Roman" w:hAnsi="Times New Roman"/>
          <w:sz w:val="20"/>
          <w:szCs w:val="20"/>
        </w:rPr>
        <w:t xml:space="preserve">(a) </w:t>
      </w:r>
      <w:r>
        <w:rPr>
          <w:rFonts w:ascii="Times New Roman" w:cs="Times New Roman" w:eastAsia="Times New Roman" w:hAnsi="Times New Roman"/>
          <w:b/>
          <w:bCs/>
          <w:sz w:val="20"/>
          <w:szCs w:val="20"/>
        </w:rPr>
        <w:t xml:space="preserve">Critical issues</w:t>
      </w:r>
      <w:r>
        <w:rPr>
          <w:rFonts w:ascii="Times New Roman" w:cs="Times New Roman" w:eastAsia="Times New Roman" w:hAnsi="Times New Roman"/>
          <w:sz w:val="20"/>
          <w:szCs w:val="20"/>
        </w:rPr>
        <w:t xml:space="preserve"> (platform unavailable or data loss risk): response within one (1) hour, resolution within four (4) hours; </w:t>
      </w:r>
      <w:r>
        <w:rPr>
          <w:rFonts w:ascii="Times New Roman" w:cs="Times New Roman" w:eastAsia="Times New Roman" w:hAnsi="Times New Roman"/>
          <w:sz w:val="20"/>
          <w:szCs w:val="20"/>
        </w:rPr>
        <w:t xml:space="preserve">(b) </w:t>
      </w:r>
      <w:r>
        <w:rPr>
          <w:rFonts w:ascii="Times New Roman" w:cs="Times New Roman" w:eastAsia="Times New Roman" w:hAnsi="Times New Roman"/>
          <w:b/>
          <w:bCs/>
          <w:sz w:val="20"/>
          <w:szCs w:val="20"/>
        </w:rPr>
        <w:t xml:space="preserve">High priority issues</w:t>
      </w:r>
      <w:r>
        <w:rPr>
          <w:rFonts w:ascii="Times New Roman" w:cs="Times New Roman" w:eastAsia="Times New Roman" w:hAnsi="Times New Roman"/>
          <w:sz w:val="20"/>
          <w:szCs w:val="20"/>
        </w:rPr>
        <w:t xml:space="preserve"> (material feature unavailable): response within two (2) hours, resolution within eight (8) hours; </w:t>
      </w:r>
      <w:r>
        <w:rPr>
          <w:rFonts w:ascii="Times New Roman" w:cs="Times New Roman" w:eastAsia="Times New Roman" w:hAnsi="Times New Roman"/>
          <w:sz w:val="20"/>
          <w:szCs w:val="20"/>
        </w:rPr>
        <w:t xml:space="preserve">(c) </w:t>
      </w:r>
      <w:r>
        <w:rPr>
          <w:rFonts w:ascii="Times New Roman" w:cs="Times New Roman" w:eastAsia="Times New Roman" w:hAnsi="Times New Roman"/>
          <w:b/>
          <w:bCs/>
          <w:sz w:val="20"/>
          <w:szCs w:val="20"/>
        </w:rPr>
        <w:t xml:space="preserve">Standard issues</w:t>
      </w:r>
      <w:r>
        <w:rPr>
          <w:rFonts w:ascii="Times New Roman" w:cs="Times New Roman" w:eastAsia="Times New Roman" w:hAnsi="Times New Roman"/>
          <w:sz w:val="20"/>
          <w:szCs w:val="20"/>
        </w:rPr>
        <w:t xml:space="preserve">: response within one (1) business day, resolution as agreed. Enhanced support terms may be specified in an Order Form.</w:t>
      </w:r>
    </w:p>
    <w:p>
      <w:pPr>
        <w:spacing w:after="0" w:before="0"/>
      </w:pPr>
      <w:r>
        <w:rPr>
          <w:rFonts w:ascii="Times New Roman" w:cs="Times New Roman" w:eastAsia="Times New Roman" w:hAnsi="Times New Roman"/>
          <w:sz w:val="20"/>
          <w:szCs w:val="20"/>
        </w:rPr>
        <w:t xml:space="preserve"/>
      </w:r>
    </w:p>
    <w:p>
      <w:pPr>
        <w:spacing w:after="60" w:before="60" w:line="260"/>
        <w:ind w:left="720"/>
      </w:pPr>
      <w:r>
        <w:rPr>
          <w:rFonts w:ascii="Times New Roman" w:cs="Times New Roman" w:eastAsia="Times New Roman" w:hAnsi="Times New Roman"/>
          <w:i/>
          <w:iCs/>
          <w:color w:val="4A4A4A"/>
          <w:sz w:val="18"/>
          <w:szCs w:val="18"/>
        </w:rPr>
        <w:t xml:space="preserve">Note. 24/7 support is a significant operational commitment for an early-stage vendor. Prior to execution, Vendor should determine whether it will build this capability in-house, engage a managed services provider, or negotiate phased SLA ramp-up in the Order Form. Failure to meet hourly SLAs could trigger service credits under Section 2.1.</w:t>
      </w:r>
    </w:p>
    <w:p>
      <w:pPr>
        <w:pStyle w:val="Heading1"/>
        <w:pBdr>
          <w:bottom w:val="single" w:color="1F3864" w:sz="4" w:space="4"/>
        </w:pBdr>
        <w:spacing w:after="120" w:before="360"/>
        <w:outlineLvl w:val="0"/>
      </w:pPr>
      <w:r>
        <w:rPr>
          <w:rFonts w:ascii="Times New Roman" w:cs="Times New Roman" w:eastAsia="Times New Roman" w:hAnsi="Times New Roman"/>
          <w:b/>
          <w:bCs/>
          <w:color w:val="1F3864"/>
          <w:sz w:val="24"/>
          <w:szCs w:val="24"/>
        </w:rPr>
        <w:t xml:space="preserve">3.  CLIENT OBLIGATIONS</w:t>
      </w:r>
    </w:p>
    <w:p>
      <w:pPr>
        <w:spacing w:after="80" w:before="80" w:line="276"/>
      </w:pPr>
      <w:r>
        <w:rPr>
          <w:rFonts w:ascii="Times New Roman" w:cs="Times New Roman" w:eastAsia="Times New Roman" w:hAnsi="Times New Roman"/>
          <w:b/>
          <w:bCs/>
          <w:sz w:val="20"/>
          <w:szCs w:val="20"/>
        </w:rPr>
        <w:t xml:space="preserve">3.1  </w:t>
      </w:r>
      <w:r>
        <w:rPr>
          <w:rFonts w:ascii="Times New Roman" w:cs="Times New Roman" w:eastAsia="Times New Roman" w:hAnsi="Times New Roman"/>
          <w:sz w:val="20"/>
          <w:szCs w:val="20"/>
        </w:rPr>
        <w:t xml:space="preserve">Client is responsible for: (a) ensuring its authorized users comply with this Agreement and applicable Documentation; (b) the accuracy, legality, and appropriateness of Client Data uploaded to the platform; and (c) maintaining the security and confidentiality of user account credentials.</w:t>
      </w:r>
    </w:p>
    <w:p>
      <w:pPr>
        <w:spacing w:after="80" w:before="80" w:line="276"/>
      </w:pPr>
      <w:r>
        <w:rPr>
          <w:rFonts w:ascii="Times New Roman" w:cs="Times New Roman" w:eastAsia="Times New Roman" w:hAnsi="Times New Roman"/>
          <w:b/>
          <w:bCs/>
          <w:sz w:val="20"/>
          <w:szCs w:val="20"/>
        </w:rPr>
        <w:t xml:space="preserve">3.2  </w:t>
      </w:r>
      <w:r>
        <w:rPr>
          <w:rFonts w:ascii="Times New Roman" w:cs="Times New Roman" w:eastAsia="Times New Roman" w:hAnsi="Times New Roman"/>
          <w:sz w:val="20"/>
          <w:szCs w:val="20"/>
        </w:rPr>
        <w:t xml:space="preserve">Client will not: (a) resell, sublicense, or otherwise make the Services available to third parties; (b) use the Services to develop a competing product; (c) attempt to reverse engineer or decompile the platform; or (d) remove or obscure any proprietary notices included in the Services.</w:t>
      </w:r>
    </w:p>
    <w:p>
      <w:pPr>
        <w:pStyle w:val="Heading1"/>
        <w:pBdr>
          <w:bottom w:val="single" w:color="1F3864" w:sz="4" w:space="4"/>
        </w:pBdr>
        <w:spacing w:after="120" w:before="360"/>
        <w:outlineLvl w:val="0"/>
      </w:pPr>
      <w:r>
        <w:rPr>
          <w:rFonts w:ascii="Times New Roman" w:cs="Times New Roman" w:eastAsia="Times New Roman" w:hAnsi="Times New Roman"/>
          <w:b/>
          <w:bCs/>
          <w:color w:val="1F3864"/>
          <w:sz w:val="24"/>
          <w:szCs w:val="24"/>
        </w:rPr>
        <w:t xml:space="preserve">4.  FEES AND PAYMENT</w:t>
      </w:r>
    </w:p>
    <w:p>
      <w:pPr>
        <w:spacing w:after="60" w:before="120"/>
      </w:pPr>
      <w:r>
        <w:rPr>
          <w:rFonts w:ascii="Times New Roman" w:cs="Times New Roman" w:eastAsia="Times New Roman" w:hAnsi="Times New Roman"/>
          <w:b/>
          <w:bCs/>
          <w:sz w:val="20"/>
          <w:szCs w:val="20"/>
        </w:rPr>
        <w:t xml:space="preserve">4.1  Fees.</w:t>
      </w:r>
    </w:p>
    <w:p>
      <w:pPr>
        <w:spacing w:after="80" w:before="80" w:line="276"/>
      </w:pPr>
      <w:r>
        <w:rPr>
          <w:rFonts w:ascii="Times New Roman" w:cs="Times New Roman" w:eastAsia="Times New Roman" w:hAnsi="Times New Roman"/>
          <w:sz w:val="20"/>
          <w:szCs w:val="20"/>
        </w:rPr>
        <w:t xml:space="preserve">Client will pay the fees set out in the applicable Order Form. All fees are in Canadian dollars unless otherwise specified. As of the Effective Date, the initial Order Form provides for fees of $180,000 CAD per annum.</w:t>
      </w:r>
    </w:p>
    <w:p>
      <w:pPr>
        <w:spacing w:after="60" w:before="120"/>
      </w:pPr>
      <w:r>
        <w:rPr>
          <w:rFonts w:ascii="Times New Roman" w:cs="Times New Roman" w:eastAsia="Times New Roman" w:hAnsi="Times New Roman"/>
          <w:b/>
          <w:bCs/>
          <w:sz w:val="20"/>
          <w:szCs w:val="20"/>
        </w:rPr>
        <w:t xml:space="preserve">4.2  Payment Terms.</w:t>
      </w:r>
    </w:p>
    <w:p>
      <w:pPr>
        <w:spacing w:after="80" w:before="80" w:line="276"/>
      </w:pPr>
      <w:r>
        <w:rPr>
          <w:rFonts w:ascii="Times New Roman" w:cs="Times New Roman" w:eastAsia="Times New Roman" w:hAnsi="Times New Roman"/>
          <w:sz w:val="20"/>
          <w:szCs w:val="20"/>
        </w:rPr>
        <w:t xml:space="preserve">Invoices are due within sixty (60) days of the invoice date. Overdue amounts bear interest at the rate of 0.5% per month from the due date until paid in full.</w:t>
      </w:r>
    </w:p>
    <w:p>
      <w:pPr>
        <w:spacing w:after="0" w:before="0"/>
      </w:pPr>
      <w:r>
        <w:rPr>
          <w:rFonts w:ascii="Times New Roman" w:cs="Times New Roman" w:eastAsia="Times New Roman" w:hAnsi="Times New Roman"/>
          <w:sz w:val="20"/>
          <w:szCs w:val="20"/>
        </w:rPr>
        <w:t xml:space="preserve"/>
      </w:r>
    </w:p>
    <w:p>
      <w:pPr>
        <w:spacing w:after="60" w:before="60" w:line="260"/>
        <w:ind w:left="720"/>
      </w:pPr>
      <w:r>
        <w:rPr>
          <w:rFonts w:ascii="Times New Roman" w:cs="Times New Roman" w:eastAsia="Times New Roman" w:hAnsi="Times New Roman"/>
          <w:i/>
          <w:iCs/>
          <w:color w:val="4A4A4A"/>
          <w:sz w:val="18"/>
          <w:szCs w:val="18"/>
        </w:rPr>
        <w:t xml:space="preserve">Note. Net 60 reflects Client's standard AP cycle. The 0.5%/month interest rate represents a significant reduction from Vendor's standard 1.5%/month — Vendor should model the cash-flow impact of delayed payments when agreeing to pricing.</w:t>
      </w:r>
    </w:p>
    <w:p>
      <w:pPr>
        <w:spacing w:after="60" w:before="120"/>
      </w:pPr>
      <w:r>
        <w:rPr>
          <w:rFonts w:ascii="Times New Roman" w:cs="Times New Roman" w:eastAsia="Times New Roman" w:hAnsi="Times New Roman"/>
          <w:b/>
          <w:bCs/>
          <w:sz w:val="20"/>
          <w:szCs w:val="20"/>
        </w:rPr>
        <w:t xml:space="preserve">4.3  Taxes.</w:t>
      </w:r>
    </w:p>
    <w:p>
      <w:pPr>
        <w:spacing w:after="80" w:before="80" w:line="276"/>
      </w:pPr>
      <w:r>
        <w:rPr>
          <w:rFonts w:ascii="Times New Roman" w:cs="Times New Roman" w:eastAsia="Times New Roman" w:hAnsi="Times New Roman"/>
          <w:sz w:val="20"/>
          <w:szCs w:val="20"/>
        </w:rPr>
        <w:t xml:space="preserve">Fees are exclusive of applicable taxes. Client is responsible for all taxes arising from the purchase of Services, excluding taxes on Vendor's net income.</w:t>
      </w:r>
    </w:p>
    <w:p>
      <w:pPr>
        <w:spacing w:after="60" w:before="120"/>
      </w:pPr>
      <w:r>
        <w:rPr>
          <w:rFonts w:ascii="Times New Roman" w:cs="Times New Roman" w:eastAsia="Times New Roman" w:hAnsi="Times New Roman"/>
          <w:b/>
          <w:bCs/>
          <w:sz w:val="20"/>
          <w:szCs w:val="20"/>
        </w:rPr>
        <w:t xml:space="preserve">4.4  Fee Increases.</w:t>
      </w:r>
    </w:p>
    <w:p>
      <w:pPr>
        <w:spacing w:after="80" w:before="80" w:line="276"/>
      </w:pPr>
      <w:r>
        <w:rPr>
          <w:rFonts w:ascii="Times New Roman" w:cs="Times New Roman" w:eastAsia="Times New Roman" w:hAnsi="Times New Roman"/>
          <w:sz w:val="20"/>
          <w:szCs w:val="20"/>
        </w:rPr>
        <w:t xml:space="preserve">Vendor may increase fees upon renewal by no more than three percent (3%) over the prior term's fees, provided Vendor gives Client at least ninety (90) days' written notice before the renewal date.</w:t>
      </w:r>
    </w:p>
    <w:p>
      <w:pPr>
        <w:spacing w:after="60" w:before="120"/>
      </w:pPr>
      <w:r>
        <w:rPr>
          <w:rFonts w:ascii="Times New Roman" w:cs="Times New Roman" w:eastAsia="Times New Roman" w:hAnsi="Times New Roman"/>
          <w:b/>
          <w:bCs/>
          <w:sz w:val="20"/>
          <w:szCs w:val="20"/>
        </w:rPr>
        <w:t xml:space="preserve">4.5  Disputed Invoices.</w:t>
      </w:r>
    </w:p>
    <w:p>
      <w:pPr>
        <w:spacing w:after="80" w:before="80" w:line="276"/>
      </w:pPr>
      <w:r>
        <w:rPr>
          <w:rFonts w:ascii="Times New Roman" w:cs="Times New Roman" w:eastAsia="Times New Roman" w:hAnsi="Times New Roman"/>
          <w:sz w:val="20"/>
          <w:szCs w:val="20"/>
        </w:rPr>
        <w:t xml:space="preserve">If Client disputes any portion of an invoice in good faith, Client will: (a) have the right to withhold payment of the full invoice until the dispute is resolved; (b) provide written notice of the disputed amount and the basis for the dispute within thirty (30) days of the invoice date; and (c) cooperate with Vendor to resolve the dispute promptly. Vendor shall not suspend Services during the pendency of any good faith dispute.</w:t>
      </w:r>
    </w:p>
    <w:p>
      <w:pPr>
        <w:spacing w:after="0" w:before="0"/>
      </w:pPr>
      <w:r>
        <w:rPr>
          <w:rFonts w:ascii="Times New Roman" w:cs="Times New Roman" w:eastAsia="Times New Roman" w:hAnsi="Times New Roman"/>
          <w:sz w:val="20"/>
          <w:szCs w:val="20"/>
        </w:rPr>
        <w:t xml:space="preserve"/>
      </w:r>
    </w:p>
    <w:p>
      <w:pPr>
        <w:spacing w:after="60" w:before="60" w:line="260"/>
        <w:ind w:left="720"/>
      </w:pPr>
      <w:r>
        <w:rPr>
          <w:rFonts w:ascii="Times New Roman" w:cs="Times New Roman" w:eastAsia="Times New Roman" w:hAnsi="Times New Roman"/>
          <w:i/>
          <w:iCs/>
          <w:color w:val="4A4A4A"/>
          <w:sz w:val="18"/>
          <w:szCs w:val="18"/>
        </w:rPr>
        <w:t xml:space="preserve">Note. The right to withhold the full invoice (rather than just the disputed portion) is a departure from standard practice and creates cash-flow risk for Vendor. Vendor should maintain adequate working capital and consider a dispute escalation mechanism in the Order Form.</w:t>
      </w:r>
    </w:p>
    <w:p>
      <w:pPr>
        <w:pStyle w:val="Heading1"/>
        <w:pBdr>
          <w:bottom w:val="single" w:color="1F3864" w:sz="4" w:space="4"/>
        </w:pBdr>
        <w:spacing w:after="120" w:before="360"/>
        <w:outlineLvl w:val="0"/>
      </w:pPr>
      <w:r>
        <w:rPr>
          <w:rFonts w:ascii="Times New Roman" w:cs="Times New Roman" w:eastAsia="Times New Roman" w:hAnsi="Times New Roman"/>
          <w:b/>
          <w:bCs/>
          <w:color w:val="1F3864"/>
          <w:sz w:val="24"/>
          <w:szCs w:val="24"/>
        </w:rPr>
        <w:t xml:space="preserve">5.  TERM AND TERMINATION</w:t>
      </w:r>
    </w:p>
    <w:p>
      <w:pPr>
        <w:spacing w:after="60" w:before="120"/>
      </w:pPr>
      <w:r>
        <w:rPr>
          <w:rFonts w:ascii="Times New Roman" w:cs="Times New Roman" w:eastAsia="Times New Roman" w:hAnsi="Times New Roman"/>
          <w:b/>
          <w:bCs/>
          <w:sz w:val="20"/>
          <w:szCs w:val="20"/>
        </w:rPr>
        <w:t xml:space="preserve">5.1  Term.</w:t>
      </w:r>
    </w:p>
    <w:p>
      <w:pPr>
        <w:spacing w:after="80" w:before="80" w:line="276"/>
      </w:pPr>
      <w:r>
        <w:rPr>
          <w:rFonts w:ascii="Times New Roman" w:cs="Times New Roman" w:eastAsia="Times New Roman" w:hAnsi="Times New Roman"/>
          <w:sz w:val="20"/>
          <w:szCs w:val="20"/>
        </w:rPr>
        <w:t xml:space="preserve">This Agreement commences on the Effective Date and continues until all Order Forms have expired or been terminated. Each Order Form specifies its own subscription term, which renews automatically for successive one-year periods unless either party provides written notice of non-renewal at least sixty (60) days before the end of the then-current term.</w:t>
      </w:r>
    </w:p>
    <w:p>
      <w:pPr>
        <w:spacing w:after="60" w:before="120"/>
      </w:pPr>
      <w:r>
        <w:rPr>
          <w:rFonts w:ascii="Times New Roman" w:cs="Times New Roman" w:eastAsia="Times New Roman" w:hAnsi="Times New Roman"/>
          <w:b/>
          <w:bCs/>
          <w:sz w:val="20"/>
          <w:szCs w:val="20"/>
        </w:rPr>
        <w:t xml:space="preserve">5.2  Termination for Cause and Convenience.</w:t>
      </w:r>
    </w:p>
    <w:p>
      <w:pPr>
        <w:spacing w:after="80" w:before="80" w:line="276"/>
      </w:pPr>
      <w:r>
        <w:rPr>
          <w:rFonts w:ascii="Times New Roman" w:cs="Times New Roman" w:eastAsia="Times New Roman" w:hAnsi="Times New Roman"/>
          <w:sz w:val="20"/>
          <w:szCs w:val="20"/>
        </w:rPr>
        <w:t xml:space="preserve">(a) </w:t>
      </w:r>
      <w:r>
        <w:rPr>
          <w:rFonts w:ascii="Times New Roman" w:cs="Times New Roman" w:eastAsia="Times New Roman" w:hAnsi="Times New Roman"/>
          <w:b/>
          <w:bCs/>
          <w:sz w:val="20"/>
          <w:szCs w:val="20"/>
        </w:rPr>
        <w:t xml:space="preserve">Cause.</w:t>
      </w:r>
      <w:r>
        <w:rPr>
          <w:rFonts w:ascii="Times New Roman" w:cs="Times New Roman" w:eastAsia="Times New Roman" w:hAnsi="Times New Roman"/>
          <w:sz w:val="20"/>
          <w:szCs w:val="20"/>
        </w:rPr>
        <w:t xml:space="preserve"> Either party may terminate this Agreement or any Order Form upon written notice if the other party: (i) materially breaches this Agreement and fails to cure such breach within fifteen (15) days of written notice describing the breach in reasonable detail; or (ii) becomes insolvent, makes an assignment for the benefit of creditors, or has a receiver appointed.</w:t>
      </w:r>
    </w:p>
    <w:p>
      <w:pPr>
        <w:spacing w:after="0" w:before="0"/>
      </w:pPr>
      <w:r>
        <w:rPr>
          <w:rFonts w:ascii="Times New Roman" w:cs="Times New Roman" w:eastAsia="Times New Roman" w:hAnsi="Times New Roman"/>
          <w:sz w:val="20"/>
          <w:szCs w:val="20"/>
        </w:rPr>
        <w:t xml:space="preserve"/>
      </w:r>
    </w:p>
    <w:p>
      <w:pPr>
        <w:spacing w:after="80" w:before="80" w:line="276"/>
      </w:pPr>
      <w:r>
        <w:rPr>
          <w:rFonts w:ascii="Times New Roman" w:cs="Times New Roman" w:eastAsia="Times New Roman" w:hAnsi="Times New Roman"/>
          <w:sz w:val="20"/>
          <w:szCs w:val="20"/>
        </w:rPr>
        <w:t xml:space="preserve">(b) </w:t>
      </w:r>
      <w:r>
        <w:rPr>
          <w:rFonts w:ascii="Times New Roman" w:cs="Times New Roman" w:eastAsia="Times New Roman" w:hAnsi="Times New Roman"/>
          <w:b/>
          <w:bCs/>
          <w:sz w:val="20"/>
          <w:szCs w:val="20"/>
        </w:rPr>
        <w:t xml:space="preserve">Convenience.</w:t>
      </w:r>
      <w:r>
        <w:rPr>
          <w:rFonts w:ascii="Times New Roman" w:cs="Times New Roman" w:eastAsia="Times New Roman" w:hAnsi="Times New Roman"/>
          <w:sz w:val="20"/>
          <w:szCs w:val="20"/>
        </w:rPr>
        <w:t xml:space="preserve"> Client may terminate this Agreement or any Order Form for convenience upon thirty (30) days' written notice to Vendor, without liability for any fees beyond the current billing period.</w:t>
      </w:r>
    </w:p>
    <w:p>
      <w:pPr>
        <w:spacing w:after="0" w:before="0"/>
      </w:pPr>
      <w:r>
        <w:rPr>
          <w:rFonts w:ascii="Times New Roman" w:cs="Times New Roman" w:eastAsia="Times New Roman" w:hAnsi="Times New Roman"/>
          <w:sz w:val="20"/>
          <w:szCs w:val="20"/>
        </w:rPr>
        <w:t xml:space="preserve"/>
      </w:r>
    </w:p>
    <w:p>
      <w:pPr>
        <w:spacing w:after="60" w:before="60" w:line="260"/>
        <w:ind w:left="720"/>
      </w:pPr>
      <w:r>
        <w:rPr>
          <w:rFonts w:ascii="Times New Roman" w:cs="Times New Roman" w:eastAsia="Times New Roman" w:hAnsi="Times New Roman"/>
          <w:i/>
          <w:iCs/>
          <w:color w:val="4A4A4A"/>
          <w:sz w:val="18"/>
          <w:szCs w:val="18"/>
        </w:rPr>
        <w:t xml:space="preserve">Note. The convenience termination right is one of the most significant risks for Vendor. Initech can walk away at any time for any reason. Vendor should consider whether an early termination fee or minimum commitment clause is negotiable, particularly given that this is a 2-year initial term at $180K ARR.</w:t>
      </w:r>
    </w:p>
    <w:p>
      <w:pPr>
        <w:spacing w:after="60" w:before="120"/>
      </w:pPr>
      <w:r>
        <w:rPr>
          <w:rFonts w:ascii="Times New Roman" w:cs="Times New Roman" w:eastAsia="Times New Roman" w:hAnsi="Times New Roman"/>
          <w:b/>
          <w:bCs/>
          <w:sz w:val="20"/>
          <w:szCs w:val="20"/>
        </w:rPr>
        <w:t xml:space="preserve">5.3  Effect of Termination.</w:t>
      </w:r>
    </w:p>
    <w:p>
      <w:pPr>
        <w:spacing w:after="80" w:before="80" w:line="276"/>
      </w:pPr>
      <w:r>
        <w:rPr>
          <w:rFonts w:ascii="Times New Roman" w:cs="Times New Roman" w:eastAsia="Times New Roman" w:hAnsi="Times New Roman"/>
          <w:sz w:val="20"/>
          <w:szCs w:val="20"/>
        </w:rPr>
        <w:t xml:space="preserve">Upon termination: (a) Client's right to access the Services ceases immediately, </w:t>
      </w:r>
      <w:r>
        <w:rPr>
          <w:rFonts w:ascii="Times New Roman" w:cs="Times New Roman" w:eastAsia="Times New Roman" w:hAnsi="Times New Roman"/>
          <w:b/>
          <w:bCs/>
          <w:sz w:val="20"/>
          <w:szCs w:val="20"/>
        </w:rPr>
        <w:t xml:space="preserve">except</w:t>
      </w:r>
      <w:r>
        <w:rPr>
          <w:rFonts w:ascii="Times New Roman" w:cs="Times New Roman" w:eastAsia="Times New Roman" w:hAnsi="Times New Roman"/>
          <w:sz w:val="20"/>
          <w:szCs w:val="20"/>
        </w:rPr>
        <w:t xml:space="preserve"> that where Client terminates for cause, access continues for thirty (30) days to facilitate transition; (b) fees are due only for Services received up to the termination date, and no early termination fees apply; (c) Vendor will make Client Data available for export for ninety (90) days, after which Vendor may delete Client Data; and (d) each party will return or destroy the other party's Confidential Information upon written request.</w:t>
      </w:r>
    </w:p>
    <w:p>
      <w:pPr>
        <w:spacing w:after="60" w:before="120"/>
      </w:pPr>
      <w:r>
        <w:rPr>
          <w:rFonts w:ascii="Times New Roman" w:cs="Times New Roman" w:eastAsia="Times New Roman" w:hAnsi="Times New Roman"/>
          <w:b/>
          <w:bCs/>
          <w:sz w:val="20"/>
          <w:szCs w:val="20"/>
        </w:rPr>
        <w:t xml:space="preserve">5.4  Survival.</w:t>
      </w:r>
    </w:p>
    <w:p>
      <w:pPr>
        <w:spacing w:after="80" w:before="80" w:line="276"/>
      </w:pPr>
      <w:r>
        <w:rPr>
          <w:rFonts w:ascii="Times New Roman" w:cs="Times New Roman" w:eastAsia="Times New Roman" w:hAnsi="Times New Roman"/>
          <w:sz w:val="20"/>
          <w:szCs w:val="20"/>
        </w:rPr>
        <w:t xml:space="preserve">Sections 1, 4 (to the extent fees are outstanding), 6, 7, 8, 9, and 10 survive termination or expiry of this Agreement.</w:t>
      </w:r>
    </w:p>
    <w:p>
      <w:pPr>
        <w:pStyle w:val="Heading1"/>
        <w:pBdr>
          <w:bottom w:val="single" w:color="1F3864" w:sz="4" w:space="4"/>
        </w:pBdr>
        <w:spacing w:after="120" w:before="360"/>
        <w:outlineLvl w:val="0"/>
      </w:pPr>
      <w:r>
        <w:rPr>
          <w:rFonts w:ascii="Times New Roman" w:cs="Times New Roman" w:eastAsia="Times New Roman" w:hAnsi="Times New Roman"/>
          <w:b/>
          <w:bCs/>
          <w:color w:val="1F3864"/>
          <w:sz w:val="24"/>
          <w:szCs w:val="24"/>
        </w:rPr>
        <w:t xml:space="preserve">6.  INTELLECTUAL PROPERTY</w:t>
      </w:r>
    </w:p>
    <w:p>
      <w:pPr>
        <w:spacing w:after="60" w:before="120"/>
      </w:pPr>
      <w:r>
        <w:rPr>
          <w:rFonts w:ascii="Times New Roman" w:cs="Times New Roman" w:eastAsia="Times New Roman" w:hAnsi="Times New Roman"/>
          <w:b/>
          <w:bCs/>
          <w:sz w:val="20"/>
          <w:szCs w:val="20"/>
        </w:rPr>
        <w:t xml:space="preserve">6.1  Vendor IP.</w:t>
      </w:r>
    </w:p>
    <w:p>
      <w:pPr>
        <w:spacing w:after="80" w:before="80" w:line="276"/>
      </w:pPr>
      <w:r>
        <w:rPr>
          <w:rFonts w:ascii="Times New Roman" w:cs="Times New Roman" w:eastAsia="Times New Roman" w:hAnsi="Times New Roman"/>
          <w:sz w:val="20"/>
          <w:szCs w:val="20"/>
        </w:rPr>
        <w:t xml:space="preserve">Vendor retains all Intellectual Property Rights in and to the Services, platform, Documentation, and any improvements, modifications, or derivative works thereof. Notwithstanding the foregoing, any Custom Developments shall be owned solely by Client upon full payment of the applicable fees therefor. Vendor is granted a non-exclusive, royalty-free licence to use Custom Developments solely to provide Services to Client.</w:t>
      </w:r>
    </w:p>
    <w:p>
      <w:pPr>
        <w:spacing w:after="0" w:before="0"/>
      </w:pPr>
      <w:r>
        <w:rPr>
          <w:rFonts w:ascii="Times New Roman" w:cs="Times New Roman" w:eastAsia="Times New Roman" w:hAnsi="Times New Roman"/>
          <w:sz w:val="20"/>
          <w:szCs w:val="20"/>
        </w:rPr>
        <w:t xml:space="preserve"/>
      </w:r>
    </w:p>
    <w:p>
      <w:pPr>
        <w:spacing w:after="60" w:before="60" w:line="260"/>
        <w:ind w:left="720"/>
      </w:pPr>
      <w:r>
        <w:rPr>
          <w:rFonts w:ascii="Times New Roman" w:cs="Times New Roman" w:eastAsia="Times New Roman" w:hAnsi="Times New Roman"/>
          <w:i/>
          <w:iCs/>
          <w:color w:val="4A4A4A"/>
          <w:sz w:val="18"/>
          <w:szCs w:val="18"/>
        </w:rPr>
        <w:t xml:space="preserve">Note. Client ownership of Custom Developments is a significant departure from standard SaaS terms. Vendor should ensure that its development agreements with employees and contractors include assignment provisions that cover Client-funded work, and that its internal roadmap planning accounts for the fact that such features may not be freely commercializable.</w:t>
      </w:r>
    </w:p>
    <w:p>
      <w:pPr>
        <w:spacing w:after="60" w:before="120"/>
      </w:pPr>
      <w:r>
        <w:rPr>
          <w:rFonts w:ascii="Times New Roman" w:cs="Times New Roman" w:eastAsia="Times New Roman" w:hAnsi="Times New Roman"/>
          <w:b/>
          <w:bCs/>
          <w:sz w:val="20"/>
          <w:szCs w:val="20"/>
        </w:rPr>
        <w:t xml:space="preserve">6.2  Client Data.</w:t>
      </w:r>
    </w:p>
    <w:p>
      <w:pPr>
        <w:spacing w:after="80" w:before="80" w:line="276"/>
      </w:pPr>
      <w:r>
        <w:rPr>
          <w:rFonts w:ascii="Times New Roman" w:cs="Times New Roman" w:eastAsia="Times New Roman" w:hAnsi="Times New Roman"/>
          <w:sz w:val="20"/>
          <w:szCs w:val="20"/>
        </w:rPr>
        <w:t xml:space="preserve">Client retains all rights in and to Client Data. Client grants Vendor a limited, non-exclusive licence to process Client Data solely to provide the Services.</w:t>
      </w:r>
    </w:p>
    <w:p>
      <w:pPr>
        <w:spacing w:after="60" w:before="120"/>
      </w:pPr>
      <w:r>
        <w:rPr>
          <w:rFonts w:ascii="Times New Roman" w:cs="Times New Roman" w:eastAsia="Times New Roman" w:hAnsi="Times New Roman"/>
          <w:b/>
          <w:bCs/>
          <w:sz w:val="20"/>
          <w:szCs w:val="20"/>
        </w:rPr>
        <w:t xml:space="preserve">6.3  Feedback.</w:t>
      </w:r>
    </w:p>
    <w:p>
      <w:pPr>
        <w:spacing w:after="80" w:before="80" w:line="276"/>
      </w:pPr>
      <w:r>
        <w:rPr>
          <w:rFonts w:ascii="Times New Roman" w:cs="Times New Roman" w:eastAsia="Times New Roman" w:hAnsi="Times New Roman"/>
          <w:sz w:val="20"/>
          <w:szCs w:val="20"/>
        </w:rPr>
        <w:t xml:space="preserve">If Client provides suggestions or feedback regarding the Services, Vendor may use such feedback solely to improve the Services provided to Client. Vendor shall not use Client feedback to develop features or improvements made available to other clients without Client's prior written consent.</w:t>
      </w:r>
    </w:p>
    <w:p>
      <w:pPr>
        <w:spacing w:after="0" w:before="0"/>
      </w:pPr>
      <w:r>
        <w:rPr>
          <w:rFonts w:ascii="Times New Roman" w:cs="Times New Roman" w:eastAsia="Times New Roman" w:hAnsi="Times New Roman"/>
          <w:sz w:val="20"/>
          <w:szCs w:val="20"/>
        </w:rPr>
        <w:t xml:space="preserve"/>
      </w:r>
    </w:p>
    <w:p>
      <w:pPr>
        <w:spacing w:after="60" w:before="60" w:line="260"/>
        <w:ind w:left="720"/>
      </w:pPr>
      <w:r>
        <w:rPr>
          <w:rFonts w:ascii="Times New Roman" w:cs="Times New Roman" w:eastAsia="Times New Roman" w:hAnsi="Times New Roman"/>
          <w:i/>
          <w:iCs/>
          <w:color w:val="4A4A4A"/>
          <w:sz w:val="18"/>
          <w:szCs w:val="18"/>
        </w:rPr>
        <w:t xml:space="preserve">Note. Feedback restrictions limit one of the key IP benefits of enterprise customer relationships — the ability to generalize product learnings. Vendor should track which product improvements originate from Client feedback to maintain compliance, and consider whether a broader licence can be negotiated in the Order Form.</w:t>
      </w:r>
    </w:p>
    <w:p>
      <w:pPr>
        <w:spacing w:after="60" w:before="120"/>
      </w:pPr>
      <w:r>
        <w:rPr>
          <w:rFonts w:ascii="Times New Roman" w:cs="Times New Roman" w:eastAsia="Times New Roman" w:hAnsi="Times New Roman"/>
          <w:b/>
          <w:bCs/>
          <w:sz w:val="20"/>
          <w:szCs w:val="20"/>
        </w:rPr>
        <w:t xml:space="preserve">6.4  Restrictions.</w:t>
      </w:r>
    </w:p>
    <w:p>
      <w:pPr>
        <w:spacing w:after="80" w:before="80" w:line="276"/>
      </w:pPr>
      <w:r>
        <w:rPr>
          <w:rFonts w:ascii="Times New Roman" w:cs="Times New Roman" w:eastAsia="Times New Roman" w:hAnsi="Times New Roman"/>
          <w:sz w:val="20"/>
          <w:szCs w:val="20"/>
        </w:rPr>
        <w:t xml:space="preserve">Nothing in this Agreement transfers ownership of any Intellectual Property Rights from one party to the other, except as expressly set forth in Section 6.1.</w:t>
      </w:r>
    </w:p>
    <w:p>
      <w:pPr>
        <w:pStyle w:val="Heading1"/>
        <w:pBdr>
          <w:bottom w:val="single" w:color="1F3864" w:sz="4" w:space="4"/>
        </w:pBdr>
        <w:spacing w:after="120" w:before="360"/>
        <w:outlineLvl w:val="0"/>
      </w:pPr>
      <w:r>
        <w:rPr>
          <w:rFonts w:ascii="Times New Roman" w:cs="Times New Roman" w:eastAsia="Times New Roman" w:hAnsi="Times New Roman"/>
          <w:b/>
          <w:bCs/>
          <w:color w:val="1F3864"/>
          <w:sz w:val="24"/>
          <w:szCs w:val="24"/>
        </w:rPr>
        <w:t xml:space="preserve">7.  LIABILITY AND INDEMNIFICATION</w:t>
      </w:r>
    </w:p>
    <w:p>
      <w:pPr>
        <w:spacing w:after="60" w:before="120"/>
      </w:pPr>
      <w:r>
        <w:rPr>
          <w:rFonts w:ascii="Times New Roman" w:cs="Times New Roman" w:eastAsia="Times New Roman" w:hAnsi="Times New Roman"/>
          <w:b/>
          <w:bCs/>
          <w:sz w:val="20"/>
          <w:szCs w:val="20"/>
        </w:rPr>
        <w:t xml:space="preserve">7.1  Limitation of Liability.</w:t>
      </w:r>
    </w:p>
    <w:p>
      <w:pPr>
        <w:spacing w:after="80" w:before="80" w:line="276"/>
      </w:pPr>
      <w:r>
        <w:rPr>
          <w:rFonts w:ascii="Times New Roman" w:cs="Times New Roman" w:eastAsia="Times New Roman" w:hAnsi="Times New Roman"/>
          <w:sz w:val="20"/>
          <w:szCs w:val="20"/>
        </w:rPr>
        <w:t xml:space="preserve">To the maximum extent permitted by applicable law, Vendor's total aggregate liability to Client arising out of or related to this Agreement, whether in contract, tort, or otherwise, shall not exceed the total fees paid or payable by Client in the twelve (12) months immediately preceding the event giving rise to the claim.</w:t>
      </w:r>
    </w:p>
    <w:p>
      <w:pPr>
        <w:spacing w:after="0" w:before="0"/>
      </w:pPr>
      <w:r>
        <w:rPr>
          <w:rFonts w:ascii="Times New Roman" w:cs="Times New Roman" w:eastAsia="Times New Roman" w:hAnsi="Times New Roman"/>
          <w:sz w:val="20"/>
          <w:szCs w:val="20"/>
        </w:rPr>
        <w:t xml:space="preserve"/>
      </w:r>
    </w:p>
    <w:p>
      <w:pPr>
        <w:spacing w:after="80" w:before="80" w:line="276"/>
      </w:pPr>
      <w:r>
        <w:rPr>
          <w:rFonts w:ascii="Times New Roman" w:cs="Times New Roman" w:eastAsia="Times New Roman" w:hAnsi="Times New Roman"/>
          <w:b/>
          <w:bCs/>
          <w:sz w:val="20"/>
          <w:szCs w:val="20"/>
        </w:rPr>
        <w:t xml:space="preserve">Notwithstanding the foregoing</w:t>
      </w:r>
      <w:r>
        <w:rPr>
          <w:rFonts w:ascii="Times New Roman" w:cs="Times New Roman" w:eastAsia="Times New Roman" w:hAnsi="Times New Roman"/>
          <w:sz w:val="20"/>
          <w:szCs w:val="20"/>
        </w:rPr>
        <w:t xml:space="preserve">, the liability cap in this Section 7.1 shall not apply to: (a) claims arising from a breach of Section 9 (Data Protection) or any unauthorized access to or disclosure of Client Data, in which case Vendor's liability shall be uncapped; (b) Vendor's gross negligence or wilful misconduct; or (c) Vendor's indemnification obligations under Section 7.4.</w:t>
      </w:r>
    </w:p>
    <w:p>
      <w:pPr>
        <w:spacing w:after="0" w:before="0"/>
      </w:pPr>
      <w:r>
        <w:rPr>
          <w:rFonts w:ascii="Times New Roman" w:cs="Times New Roman" w:eastAsia="Times New Roman" w:hAnsi="Times New Roman"/>
          <w:sz w:val="20"/>
          <w:szCs w:val="20"/>
        </w:rPr>
        <w:t xml:space="preserve"/>
      </w:r>
    </w:p>
    <w:p>
      <w:pPr>
        <w:spacing w:after="60" w:before="60" w:line="260"/>
        <w:ind w:left="720"/>
      </w:pPr>
      <w:r>
        <w:rPr>
          <w:rFonts w:ascii="Times New Roman" w:cs="Times New Roman" w:eastAsia="Times New Roman" w:hAnsi="Times New Roman"/>
          <w:i/>
          <w:iCs/>
          <w:color w:val="4A4A4A"/>
          <w:sz w:val="18"/>
          <w:szCs w:val="18"/>
        </w:rPr>
        <w:t xml:space="preserve">Note. Uncapped data breach liability is the single most significant commercial risk in this Agreement for Vendor. A data breach involving a regulated financial institution could result in OSFI investigation, client notification obligations, regulatory fines, and reputational damage — all of which may far exceed 12 months of fees. Vendor must assess whether its cyber insurance coverage under Section 7.3 is adequate prior to execution. This provision is unlikely to be moved given OSFI requirements.</w:t>
      </w:r>
    </w:p>
    <w:p>
      <w:pPr>
        <w:spacing w:after="60" w:before="120"/>
      </w:pPr>
      <w:r>
        <w:rPr>
          <w:rFonts w:ascii="Times New Roman" w:cs="Times New Roman" w:eastAsia="Times New Roman" w:hAnsi="Times New Roman"/>
          <w:b/>
          <w:bCs/>
          <w:sz w:val="20"/>
          <w:szCs w:val="20"/>
        </w:rPr>
        <w:t xml:space="preserve">7.2  Exclusion of Consequential Damages.</w:t>
      </w:r>
    </w:p>
    <w:p>
      <w:pPr>
        <w:spacing w:after="80" w:before="80" w:line="276"/>
      </w:pPr>
      <w:r>
        <w:rPr>
          <w:rFonts w:ascii="Times New Roman" w:cs="Times New Roman" w:eastAsia="Times New Roman" w:hAnsi="Times New Roman"/>
          <w:sz w:val="20"/>
          <w:szCs w:val="20"/>
        </w:rPr>
        <w:t xml:space="preserve">Vendor shall not be liable for any indirect, incidental, special, or punitive damages. The exclusion of consequential damages shall not apply to Client's claims arising from a data breach, unauthorized disclosure of Confidential Information, or Vendor's gross negligence or wilful misconduct.</w:t>
      </w:r>
    </w:p>
    <w:p>
      <w:pPr>
        <w:spacing w:after="60" w:before="120"/>
      </w:pPr>
      <w:r>
        <w:rPr>
          <w:rFonts w:ascii="Times New Roman" w:cs="Times New Roman" w:eastAsia="Times New Roman" w:hAnsi="Times New Roman"/>
          <w:b/>
          <w:bCs/>
          <w:sz w:val="20"/>
          <w:szCs w:val="20"/>
        </w:rPr>
        <w:t xml:space="preserve">7.3  Minimum Insurance.</w:t>
      </w:r>
    </w:p>
    <w:p>
      <w:pPr>
        <w:spacing w:after="80" w:before="80" w:line="276"/>
      </w:pPr>
      <w:r>
        <w:rPr>
          <w:rFonts w:ascii="Times New Roman" w:cs="Times New Roman" w:eastAsia="Times New Roman" w:hAnsi="Times New Roman"/>
          <w:sz w:val="20"/>
          <w:szCs w:val="20"/>
        </w:rPr>
        <w:t xml:space="preserve">Vendor shall maintain throughout the term: (a) commercial general liability insurance of not less than $5,000,000 per occurrence; (b) professional liability (errors and omissions) insurance of not less than $5,000,000 per occurrence; and (c) cyber liability insurance of not less than $10,000,000 per occurrence. Vendor shall provide certificates of insurance to Client upon request.</w:t>
      </w:r>
    </w:p>
    <w:p>
      <w:pPr>
        <w:spacing w:after="0" w:before="0"/>
      </w:pPr>
      <w:r>
        <w:rPr>
          <w:rFonts w:ascii="Times New Roman" w:cs="Times New Roman" w:eastAsia="Times New Roman" w:hAnsi="Times New Roman"/>
          <w:sz w:val="20"/>
          <w:szCs w:val="20"/>
        </w:rPr>
        <w:t xml:space="preserve"/>
      </w:r>
    </w:p>
    <w:p>
      <w:pPr>
        <w:spacing w:after="60" w:before="60" w:line="260"/>
        <w:ind w:left="720"/>
      </w:pPr>
      <w:r>
        <w:rPr>
          <w:rFonts w:ascii="Times New Roman" w:cs="Times New Roman" w:eastAsia="Times New Roman" w:hAnsi="Times New Roman"/>
          <w:i/>
          <w:iCs/>
          <w:color w:val="4A4A4A"/>
          <w:sz w:val="18"/>
          <w:szCs w:val="18"/>
        </w:rPr>
        <w:t xml:space="preserve">Note. $10M cyber coverage is the floor, not the ceiling, given uncapped data breach liability. Vendor should obtain insurance quotes prior to execution to confirm these coverages are financially attainable. Early-stage startups may find $10M cyber policies expensive; this cost should be factored into the commercial model for this deal.</w:t>
      </w:r>
    </w:p>
    <w:p>
      <w:pPr>
        <w:spacing w:after="60" w:before="120"/>
      </w:pPr>
      <w:r>
        <w:rPr>
          <w:rFonts w:ascii="Times New Roman" w:cs="Times New Roman" w:eastAsia="Times New Roman" w:hAnsi="Times New Roman"/>
          <w:b/>
          <w:bCs/>
          <w:sz w:val="20"/>
          <w:szCs w:val="20"/>
        </w:rPr>
        <w:t xml:space="preserve">7.4  Indemnification.</w:t>
      </w:r>
    </w:p>
    <w:p>
      <w:pPr>
        <w:spacing w:after="80" w:before="80" w:line="276"/>
      </w:pPr>
      <w:r>
        <w:rPr>
          <w:rFonts w:ascii="Times New Roman" w:cs="Times New Roman" w:eastAsia="Times New Roman" w:hAnsi="Times New Roman"/>
          <w:sz w:val="20"/>
          <w:szCs w:val="20"/>
        </w:rPr>
        <w:t xml:space="preserve">Vendor shall indemnify, defend, and hold harmless Client and its officers, directors, employees, and affiliates from and against any claims, damages, losses, and expenses (including reasonable legal fees) arising from: (a) Vendor's material breach of this Agreement; (b) any claim that the Services infringe a third party's intellectual property rights; or (c) any unauthorized access to or disclosure of Client Data caused by Vendor's acts or omissions.</w:t>
      </w:r>
    </w:p>
    <w:p>
      <w:pPr>
        <w:pStyle w:val="Heading1"/>
        <w:pBdr>
          <w:bottom w:val="single" w:color="1F3864" w:sz="4" w:space="4"/>
        </w:pBdr>
        <w:spacing w:after="120" w:before="360"/>
        <w:outlineLvl w:val="0"/>
      </w:pPr>
      <w:r>
        <w:rPr>
          <w:rFonts w:ascii="Times New Roman" w:cs="Times New Roman" w:eastAsia="Times New Roman" w:hAnsi="Times New Roman"/>
          <w:b/>
          <w:bCs/>
          <w:color w:val="1F3864"/>
          <w:sz w:val="24"/>
          <w:szCs w:val="24"/>
        </w:rPr>
        <w:t xml:space="preserve">8.  CONFIDENTIALITY</w:t>
      </w:r>
    </w:p>
    <w:p>
      <w:pPr>
        <w:spacing w:after="80" w:before="80" w:line="276"/>
      </w:pPr>
      <w:r>
        <w:rPr>
          <w:rFonts w:ascii="Times New Roman" w:cs="Times New Roman" w:eastAsia="Times New Roman" w:hAnsi="Times New Roman"/>
          <w:sz w:val="20"/>
          <w:szCs w:val="20"/>
        </w:rPr>
        <w:t xml:space="preserve">The confidentiality obligations of this Agreement are consistent with and incorporate by reference the terms of the One-Way Non-Disclosure Agreement executed between the parties. In the event of a conflict between this Section 8 and the NDA, the terms more protective of Initech's Confidential Information shall prevail.</w:t>
      </w:r>
    </w:p>
    <w:p>
      <w:pPr>
        <w:pStyle w:val="Heading1"/>
        <w:pBdr>
          <w:bottom w:val="single" w:color="1F3864" w:sz="4" w:space="4"/>
        </w:pBdr>
        <w:spacing w:after="120" w:before="360"/>
        <w:outlineLvl w:val="0"/>
      </w:pPr>
      <w:r>
        <w:rPr>
          <w:rFonts w:ascii="Times New Roman" w:cs="Times New Roman" w:eastAsia="Times New Roman" w:hAnsi="Times New Roman"/>
          <w:b/>
          <w:bCs/>
          <w:color w:val="1F3864"/>
          <w:sz w:val="24"/>
          <w:szCs w:val="24"/>
        </w:rPr>
        <w:t xml:space="preserve">9.  DATA PROTECTION</w:t>
      </w:r>
    </w:p>
    <w:p>
      <w:pPr>
        <w:spacing w:after="60" w:before="120"/>
      </w:pPr>
      <w:r>
        <w:rPr>
          <w:rFonts w:ascii="Times New Roman" w:cs="Times New Roman" w:eastAsia="Times New Roman" w:hAnsi="Times New Roman"/>
          <w:b/>
          <w:bCs/>
          <w:sz w:val="20"/>
          <w:szCs w:val="20"/>
        </w:rPr>
        <w:t xml:space="preserve">9.1  Data Processing.</w:t>
      </w:r>
    </w:p>
    <w:p>
      <w:pPr>
        <w:spacing w:after="80" w:before="80" w:line="276"/>
      </w:pPr>
      <w:r>
        <w:rPr>
          <w:rFonts w:ascii="Times New Roman" w:cs="Times New Roman" w:eastAsia="Times New Roman" w:hAnsi="Times New Roman"/>
          <w:sz w:val="20"/>
          <w:szCs w:val="20"/>
        </w:rPr>
        <w:t xml:space="preserve">To the extent Vendor processes personal information on behalf of Client, Vendor will: (a) process such data only in accordance with Client's documented instructions; (b) implement industry-leading technical and organizational security measures consistent with ISO 27001 or SOC 2 Type II standards, evidence of which shall be provided to Client annually; and (c) notify Client within twenty-four (24) hours upon becoming aware of any unauthorized access to Client Data.</w:t>
      </w:r>
    </w:p>
    <w:p>
      <w:pPr>
        <w:spacing w:after="0" w:before="0"/>
      </w:pPr>
      <w:r>
        <w:rPr>
          <w:rFonts w:ascii="Times New Roman" w:cs="Times New Roman" w:eastAsia="Times New Roman" w:hAnsi="Times New Roman"/>
          <w:sz w:val="20"/>
          <w:szCs w:val="20"/>
        </w:rPr>
        <w:t xml:space="preserve"/>
      </w:r>
    </w:p>
    <w:p>
      <w:pPr>
        <w:spacing w:after="60" w:before="60" w:line="260"/>
        <w:ind w:left="720"/>
      </w:pPr>
      <w:r>
        <w:rPr>
          <w:rFonts w:ascii="Times New Roman" w:cs="Times New Roman" w:eastAsia="Times New Roman" w:hAnsi="Times New Roman"/>
          <w:i/>
          <w:iCs/>
          <w:color w:val="4A4A4A"/>
          <w:sz w:val="18"/>
          <w:szCs w:val="18"/>
        </w:rPr>
        <w:t xml:space="preserve">Note. ISO 27001 or SOC 2 Type II certification is a non-trivial operational requirement. Vendor should assess its current security posture and timeline to certification. If certification is not yet obtained, Vendor may propose an interim commitment to pursue certification within an agreed period.</w:t>
      </w:r>
    </w:p>
    <w:p>
      <w:pPr>
        <w:spacing w:after="60" w:before="120"/>
      </w:pPr>
      <w:r>
        <w:rPr>
          <w:rFonts w:ascii="Times New Roman" w:cs="Times New Roman" w:eastAsia="Times New Roman" w:hAnsi="Times New Roman"/>
          <w:b/>
          <w:bCs/>
          <w:sz w:val="20"/>
          <w:szCs w:val="20"/>
        </w:rPr>
        <w:t xml:space="preserve">9.2  Data Location.</w:t>
      </w:r>
    </w:p>
    <w:p>
      <w:pPr>
        <w:spacing w:after="80" w:before="80" w:line="276"/>
      </w:pPr>
      <w:r>
        <w:rPr>
          <w:rFonts w:ascii="Times New Roman" w:cs="Times New Roman" w:eastAsia="Times New Roman" w:hAnsi="Times New Roman"/>
          <w:sz w:val="20"/>
          <w:szCs w:val="20"/>
        </w:rPr>
        <w:t xml:space="preserve">Client Data will be stored and processed within the Province of Ontario unless otherwise agreed in writing. Vendor shall not transfer, replicate, or back up Client Data outside of Ontario without Client's prior written consent.</w:t>
      </w:r>
    </w:p>
    <w:p>
      <w:pPr>
        <w:spacing w:after="0" w:before="0"/>
      </w:pPr>
      <w:r>
        <w:rPr>
          <w:rFonts w:ascii="Times New Roman" w:cs="Times New Roman" w:eastAsia="Times New Roman" w:hAnsi="Times New Roman"/>
          <w:sz w:val="20"/>
          <w:szCs w:val="20"/>
        </w:rPr>
        <w:t xml:space="preserve"/>
      </w:r>
    </w:p>
    <w:p>
      <w:pPr>
        <w:spacing w:after="60" w:before="60" w:line="260"/>
        <w:ind w:left="720"/>
      </w:pPr>
      <w:r>
        <w:rPr>
          <w:rFonts w:ascii="Times New Roman" w:cs="Times New Roman" w:eastAsia="Times New Roman" w:hAnsi="Times New Roman"/>
          <w:i/>
          <w:iCs/>
          <w:color w:val="4A4A4A"/>
          <w:sz w:val="18"/>
          <w:szCs w:val="18"/>
        </w:rPr>
        <w:t xml:space="preserve">Note. Ontario-only data residency is more restrictive than Vendor's standard Canada-wide position. Vendor should confirm whether its cloud hosting provider can guarantee Ontario-only storage and whether this eliminates any cross-region redundancy in its infrastructure.</w:t>
      </w:r>
    </w:p>
    <w:p>
      <w:pPr>
        <w:spacing w:after="60" w:before="120"/>
      </w:pPr>
      <w:r>
        <w:rPr>
          <w:rFonts w:ascii="Times New Roman" w:cs="Times New Roman" w:eastAsia="Times New Roman" w:hAnsi="Times New Roman"/>
          <w:b/>
          <w:bCs/>
          <w:sz w:val="20"/>
          <w:szCs w:val="20"/>
        </w:rPr>
        <w:t xml:space="preserve">9.3  Audit Rights.</w:t>
      </w:r>
    </w:p>
    <w:p>
      <w:pPr>
        <w:spacing w:after="80" w:before="80" w:line="276"/>
      </w:pPr>
      <w:r>
        <w:rPr>
          <w:rFonts w:ascii="Times New Roman" w:cs="Times New Roman" w:eastAsia="Times New Roman" w:hAnsi="Times New Roman"/>
          <w:sz w:val="20"/>
          <w:szCs w:val="20"/>
        </w:rPr>
        <w:t xml:space="preserve">Upon reasonable prior written notice of not less than forty-eight (48) hours, Client shall have the right, no more than twice per calendar year, to audit Vendor's information security controls, data handling practices, and compliance with this Agreement, either directly or through a qualified third-party auditor. Vendor shall cooperate fully with any such audit and bear the costs of its own personnel in connection therewith.</w:t>
      </w:r>
    </w:p>
    <w:p>
      <w:pPr>
        <w:spacing w:after="0" w:before="0"/>
      </w:pPr>
      <w:r>
        <w:rPr>
          <w:rFonts w:ascii="Times New Roman" w:cs="Times New Roman" w:eastAsia="Times New Roman" w:hAnsi="Times New Roman"/>
          <w:sz w:val="20"/>
          <w:szCs w:val="20"/>
        </w:rPr>
        <w:t xml:space="preserve"/>
      </w:r>
    </w:p>
    <w:p>
      <w:pPr>
        <w:spacing w:after="60" w:before="60" w:line="260"/>
        <w:ind w:left="720"/>
      </w:pPr>
      <w:r>
        <w:rPr>
          <w:rFonts w:ascii="Times New Roman" w:cs="Times New Roman" w:eastAsia="Times New Roman" w:hAnsi="Times New Roman"/>
          <w:i/>
          <w:iCs/>
          <w:color w:val="4A4A4A"/>
          <w:sz w:val="18"/>
          <w:szCs w:val="18"/>
        </w:rPr>
        <w:t xml:space="preserve">Note. Audit rights twice per year with 48-hour notice is operationally demanding. Vendor should designate an internal point of contact for audit facilitation and ensure its security documentation is maintained in audit-ready condition.</w:t>
      </w:r>
    </w:p>
    <w:p>
      <w:pPr>
        <w:spacing w:after="60" w:before="120"/>
      </w:pPr>
      <w:r>
        <w:rPr>
          <w:rFonts w:ascii="Times New Roman" w:cs="Times New Roman" w:eastAsia="Times New Roman" w:hAnsi="Times New Roman"/>
          <w:b/>
          <w:bCs/>
          <w:sz w:val="20"/>
          <w:szCs w:val="20"/>
        </w:rPr>
        <w:t xml:space="preserve">9.4  Compliance.</w:t>
      </w:r>
    </w:p>
    <w:p>
      <w:pPr>
        <w:spacing w:after="80" w:before="80" w:line="276"/>
      </w:pPr>
      <w:r>
        <w:rPr>
          <w:rFonts w:ascii="Times New Roman" w:cs="Times New Roman" w:eastAsia="Times New Roman" w:hAnsi="Times New Roman"/>
          <w:sz w:val="20"/>
          <w:szCs w:val="20"/>
        </w:rPr>
        <w:t xml:space="preserve">Each party is responsible for its own compliance with applicable privacy and data protection laws, including PIPEDA and applicable provincial privacy legislation. Vendor acknowledges Client's obligations under OSFI Guideline B-10 (Third-Party Risk Management) and will reasonably cooperate with Client's third-party risk management program.</w:t>
      </w:r>
    </w:p>
    <w:p>
      <w:pPr>
        <w:pStyle w:val="Heading1"/>
        <w:pBdr>
          <w:bottom w:val="single" w:color="1F3864" w:sz="4" w:space="4"/>
        </w:pBdr>
        <w:spacing w:after="120" w:before="360"/>
        <w:outlineLvl w:val="0"/>
      </w:pPr>
      <w:r>
        <w:rPr>
          <w:rFonts w:ascii="Times New Roman" w:cs="Times New Roman" w:eastAsia="Times New Roman" w:hAnsi="Times New Roman"/>
          <w:b/>
          <w:bCs/>
          <w:color w:val="1F3864"/>
          <w:sz w:val="24"/>
          <w:szCs w:val="24"/>
        </w:rPr>
        <w:t xml:space="preserve">10.  GENERAL</w:t>
      </w:r>
    </w:p>
    <w:p>
      <w:pPr>
        <w:spacing w:after="60" w:before="120"/>
      </w:pPr>
      <w:r>
        <w:rPr>
          <w:rFonts w:ascii="Times New Roman" w:cs="Times New Roman" w:eastAsia="Times New Roman" w:hAnsi="Times New Roman"/>
          <w:b/>
          <w:bCs/>
          <w:sz w:val="20"/>
          <w:szCs w:val="20"/>
        </w:rPr>
        <w:t xml:space="preserve">10.1  Governing Law.</w:t>
      </w:r>
    </w:p>
    <w:p>
      <w:pPr>
        <w:spacing w:after="80" w:before="80" w:line="276"/>
      </w:pPr>
      <w:r>
        <w:rPr>
          <w:rFonts w:ascii="Times New Roman" w:cs="Times New Roman" w:eastAsia="Times New Roman" w:hAnsi="Times New Roman"/>
          <w:sz w:val="20"/>
          <w:szCs w:val="20"/>
        </w:rPr>
        <w:t xml:space="preserve">This Agreement is governed by the laws of the Province of Ontario and the federal laws of Canada applicable therein. Each party irrevocably submits to the exclusive jurisdiction of the courts of Ontario.</w:t>
      </w:r>
    </w:p>
    <w:p>
      <w:pPr>
        <w:spacing w:after="60" w:before="120"/>
      </w:pPr>
      <w:r>
        <w:rPr>
          <w:rFonts w:ascii="Times New Roman" w:cs="Times New Roman" w:eastAsia="Times New Roman" w:hAnsi="Times New Roman"/>
          <w:b/>
          <w:bCs/>
          <w:sz w:val="20"/>
          <w:szCs w:val="20"/>
        </w:rPr>
        <w:t xml:space="preserve">10.2  Entire Agreement.</w:t>
      </w:r>
    </w:p>
    <w:p>
      <w:pPr>
        <w:spacing w:after="80" w:before="80" w:line="276"/>
      </w:pPr>
      <w:r>
        <w:rPr>
          <w:rFonts w:ascii="Times New Roman" w:cs="Times New Roman" w:eastAsia="Times New Roman" w:hAnsi="Times New Roman"/>
          <w:sz w:val="20"/>
          <w:szCs w:val="20"/>
        </w:rPr>
        <w:t xml:space="preserve">This Agreement, together with all Order Forms and the Non-Disclosure Agreement, constitutes the entire agreement between the parties and supersedes all prior negotiations, representations, and understandings relating to its subject matter.</w:t>
      </w:r>
    </w:p>
    <w:p>
      <w:pPr>
        <w:spacing w:after="60" w:before="120"/>
      </w:pPr>
      <w:r>
        <w:rPr>
          <w:rFonts w:ascii="Times New Roman" w:cs="Times New Roman" w:eastAsia="Times New Roman" w:hAnsi="Times New Roman"/>
          <w:b/>
          <w:bCs/>
          <w:sz w:val="20"/>
          <w:szCs w:val="20"/>
        </w:rPr>
        <w:t xml:space="preserve">10.3  Order of Precedence.</w:t>
      </w:r>
    </w:p>
    <w:p>
      <w:pPr>
        <w:spacing w:after="80" w:before="80" w:line="276"/>
      </w:pPr>
      <w:r>
        <w:rPr>
          <w:rFonts w:ascii="Times New Roman" w:cs="Times New Roman" w:eastAsia="Times New Roman" w:hAnsi="Times New Roman"/>
          <w:sz w:val="20"/>
          <w:szCs w:val="20"/>
        </w:rPr>
        <w:t xml:space="preserve">In the event of a conflict between this Agreement and an Order Form, the Order Form prevails unless it expressly states otherwise.</w:t>
      </w:r>
    </w:p>
    <w:p>
      <w:pPr>
        <w:spacing w:after="60" w:before="120"/>
      </w:pPr>
      <w:r>
        <w:rPr>
          <w:rFonts w:ascii="Times New Roman" w:cs="Times New Roman" w:eastAsia="Times New Roman" w:hAnsi="Times New Roman"/>
          <w:b/>
          <w:bCs/>
          <w:sz w:val="20"/>
          <w:szCs w:val="20"/>
        </w:rPr>
        <w:t xml:space="preserve">10.4  Amendments.</w:t>
      </w:r>
    </w:p>
    <w:p>
      <w:pPr>
        <w:spacing w:after="80" w:before="80" w:line="276"/>
      </w:pPr>
      <w:r>
        <w:rPr>
          <w:rFonts w:ascii="Times New Roman" w:cs="Times New Roman" w:eastAsia="Times New Roman" w:hAnsi="Times New Roman"/>
          <w:sz w:val="20"/>
          <w:szCs w:val="20"/>
        </w:rPr>
        <w:t xml:space="preserve">This Agreement may only be amended by a written instrument signed by authorized representatives of both parties.</w:t>
      </w:r>
    </w:p>
    <w:p>
      <w:pPr>
        <w:spacing w:after="60" w:before="120"/>
      </w:pPr>
      <w:r>
        <w:rPr>
          <w:rFonts w:ascii="Times New Roman" w:cs="Times New Roman" w:eastAsia="Times New Roman" w:hAnsi="Times New Roman"/>
          <w:b/>
          <w:bCs/>
          <w:sz w:val="20"/>
          <w:szCs w:val="20"/>
        </w:rPr>
        <w:t xml:space="preserve">10.5  Assignment.</w:t>
      </w:r>
    </w:p>
    <w:p>
      <w:pPr>
        <w:spacing w:after="80" w:before="80" w:line="276"/>
      </w:pPr>
      <w:r>
        <w:rPr>
          <w:rFonts w:ascii="Times New Roman" w:cs="Times New Roman" w:eastAsia="Times New Roman" w:hAnsi="Times New Roman"/>
          <w:sz w:val="20"/>
          <w:szCs w:val="20"/>
        </w:rPr>
        <w:t xml:space="preserve">Neither party may assign this Agreement without the other party's prior written consent, except that either party may assign this Agreement to a successor in connection with a merger, acquisition, or sale of all or substantially all of its assets, provided the successor assumes all obligations hereunder.</w:t>
      </w:r>
    </w:p>
    <w:p>
      <w:pPr>
        <w:spacing w:after="60" w:before="120"/>
      </w:pPr>
      <w:r>
        <w:rPr>
          <w:rFonts w:ascii="Times New Roman" w:cs="Times New Roman" w:eastAsia="Times New Roman" w:hAnsi="Times New Roman"/>
          <w:b/>
          <w:bCs/>
          <w:sz w:val="20"/>
          <w:szCs w:val="20"/>
        </w:rPr>
        <w:t xml:space="preserve">10.6  Force Majeure.</w:t>
      </w:r>
    </w:p>
    <w:p>
      <w:pPr>
        <w:spacing w:after="80" w:before="80" w:line="276"/>
      </w:pPr>
      <w:r>
        <w:rPr>
          <w:rFonts w:ascii="Times New Roman" w:cs="Times New Roman" w:eastAsia="Times New Roman" w:hAnsi="Times New Roman"/>
          <w:sz w:val="20"/>
          <w:szCs w:val="20"/>
        </w:rPr>
        <w:t xml:space="preserve">Neither party is liable for delays or failures in performance caused by circumstances beyond its reasonable control, provided that any such event does not relieve Vendor of its data security obligations under Section 9.</w:t>
      </w:r>
    </w:p>
    <w:p>
      <w:pPr>
        <w:spacing w:after="60" w:before="120"/>
      </w:pPr>
      <w:r>
        <w:rPr>
          <w:rFonts w:ascii="Times New Roman" w:cs="Times New Roman" w:eastAsia="Times New Roman" w:hAnsi="Times New Roman"/>
          <w:b/>
          <w:bCs/>
          <w:sz w:val="20"/>
          <w:szCs w:val="20"/>
        </w:rPr>
        <w:t xml:space="preserve">10.7  Severability.</w:t>
      </w:r>
    </w:p>
    <w:p>
      <w:pPr>
        <w:spacing w:after="80" w:before="80" w:line="276"/>
      </w:pPr>
      <w:r>
        <w:rPr>
          <w:rFonts w:ascii="Times New Roman" w:cs="Times New Roman" w:eastAsia="Times New Roman" w:hAnsi="Times New Roman"/>
          <w:sz w:val="20"/>
          <w:szCs w:val="20"/>
        </w:rPr>
        <w:t xml:space="preserve">If any provision of this Agreement is held invalid or unenforceable, the remaining provisions continue in full force.</w:t>
      </w:r>
    </w:p>
    <w:p>
      <w:pPr>
        <w:spacing w:after="60" w:before="120"/>
      </w:pPr>
      <w:r>
        <w:rPr>
          <w:rFonts w:ascii="Times New Roman" w:cs="Times New Roman" w:eastAsia="Times New Roman" w:hAnsi="Times New Roman"/>
          <w:b/>
          <w:bCs/>
          <w:sz w:val="20"/>
          <w:szCs w:val="20"/>
        </w:rPr>
        <w:t xml:space="preserve">10.8  Counterparts.</w:t>
      </w:r>
    </w:p>
    <w:p>
      <w:pPr>
        <w:spacing w:after="80" w:before="80" w:line="276"/>
      </w:pPr>
      <w:r>
        <w:rPr>
          <w:rFonts w:ascii="Times New Roman" w:cs="Times New Roman" w:eastAsia="Times New Roman" w:hAnsi="Times New Roman"/>
          <w:sz w:val="20"/>
          <w:szCs w:val="20"/>
        </w:rPr>
        <w:t xml:space="preserve">This Agreement may be executed in counterparts, including by electronic signature, each of which is deemed an original.</w:t>
      </w:r>
    </w:p>
    <w:p>
      <w:pPr>
        <w:spacing w:after="60" w:before="120"/>
      </w:pPr>
      <w:r>
        <w:rPr>
          <w:rFonts w:ascii="Times New Roman" w:cs="Times New Roman" w:eastAsia="Times New Roman" w:hAnsi="Times New Roman"/>
          <w:b/>
          <w:bCs/>
          <w:sz w:val="20"/>
          <w:szCs w:val="20"/>
        </w:rPr>
        <w:t xml:space="preserve">10.9  Step-In Rights.</w:t>
      </w:r>
    </w:p>
    <w:p>
      <w:pPr>
        <w:spacing w:after="80" w:before="80" w:line="276"/>
      </w:pPr>
      <w:r>
        <w:rPr>
          <w:rFonts w:ascii="Times New Roman" w:cs="Times New Roman" w:eastAsia="Times New Roman" w:hAnsi="Times New Roman"/>
          <w:sz w:val="20"/>
          <w:szCs w:val="20"/>
        </w:rPr>
        <w:t xml:space="preserve">In the event Vendor is unable or unwilling to perform its obligations under this Agreement, Client shall have the right, upon written notice, to assume direct control of the Services or to appoint a third party to do so, and Vendor shall cooperate fully with such transition at no additional cost to Client.</w:t>
      </w:r>
    </w:p>
    <w:p>
      <w:pPr>
        <w:spacing w:after="0" w:before="0"/>
      </w:pPr>
      <w:r>
        <w:rPr>
          <w:rFonts w:ascii="Times New Roman" w:cs="Times New Roman" w:eastAsia="Times New Roman" w:hAnsi="Times New Roman"/>
          <w:sz w:val="20"/>
          <w:szCs w:val="20"/>
        </w:rPr>
        <w:t xml:space="preserve"/>
      </w:r>
    </w:p>
    <w:p>
      <w:pPr>
        <w:spacing w:after="60" w:before="60" w:line="260"/>
        <w:ind w:left="720"/>
      </w:pPr>
      <w:r>
        <w:rPr>
          <w:rFonts w:ascii="Times New Roman" w:cs="Times New Roman" w:eastAsia="Times New Roman" w:hAnsi="Times New Roman"/>
          <w:i/>
          <w:iCs/>
          <w:color w:val="4A4A4A"/>
          <w:sz w:val="18"/>
          <w:szCs w:val="18"/>
        </w:rPr>
        <w:t xml:space="preserve">Note. Step-in rights are a standard requirement for systemically important financial institutions under OSFI's operational resilience framework. Vendor should review whether its software licence terms, hosting agreements, and employment arrangements would permit Client to exercise step-in rights without triggering third-party consent requirements.</w:t>
      </w:r>
    </w:p>
    <w:p>
      <w:pPr>
        <w:pBdr>
          <w:bottom w:val="single" w:color="BFBFBF" w:sz="2" w:space="4"/>
        </w:pBdr>
        <w:spacing w:after="120" w:before="120"/>
      </w:pPr>
      <w:r>
        <w:rPr>
          <w:rFonts w:ascii="Times New Roman" w:cs="Times New Roman" w:eastAsia="Times New Roman" w:hAnsi="Times New Roman"/>
          <w:sz w:val="20"/>
          <w:szCs w:val="20"/>
        </w:rPr>
        <w:t xml:space="preserve"/>
      </w:r>
    </w:p>
    <w:p>
      <w:pPr>
        <w:pStyle w:val="Heading1"/>
        <w:pBdr>
          <w:bottom w:val="single" w:color="1F3864" w:sz="4" w:space="4"/>
        </w:pBdr>
        <w:spacing w:after="120" w:before="360"/>
        <w:outlineLvl w:val="0"/>
      </w:pPr>
      <w:r>
        <w:rPr>
          <w:rFonts w:ascii="Times New Roman" w:cs="Times New Roman" w:eastAsia="Times New Roman" w:hAnsi="Times New Roman"/>
          <w:b/>
          <w:bCs/>
          <w:color w:val="1F3864"/>
          <w:sz w:val="24"/>
          <w:szCs w:val="24"/>
        </w:rPr>
        <w:t xml:space="preserve">SIGNATURES</w:t>
      </w:r>
    </w:p>
    <w:p>
      <w:pPr>
        <w:spacing w:after="0" w:before="0"/>
      </w:pPr>
      <w:r>
        <w:rPr>
          <w:rFonts w:ascii="Times New Roman" w:cs="Times New Roman" w:eastAsia="Times New Roman" w:hAnsi="Times New Roman"/>
          <w:sz w:val="20"/>
          <w:szCs w:val="20"/>
        </w:rPr>
        <w:t xml:space="preserve"/>
      </w:r>
    </w:p>
    <w:p>
      <w:pPr>
        <w:spacing w:after="80" w:before="80" w:line="276"/>
      </w:pPr>
      <w:r>
        <w:rPr>
          <w:rFonts w:ascii="Times New Roman" w:cs="Times New Roman" w:eastAsia="Times New Roman" w:hAnsi="Times New Roman"/>
          <w:sz w:val="20"/>
          <w:szCs w:val="20"/>
        </w:rPr>
        <w:t xml:space="preserve">IN WITNESS WHEREOF, the parties have executed this Master Service Agreement as of the date first written above.</w:t>
      </w:r>
    </w:p>
    <w:p>
      <w:pPr>
        <w:spacing w:after="0" w:before="0"/>
      </w:pPr>
      <w:r>
        <w:rPr>
          <w:rFonts w:ascii="Times New Roman" w:cs="Times New Roman" w:eastAsia="Times New Roman" w:hAnsi="Times New Roman"/>
          <w:sz w:val="20"/>
          <w:szCs w:val="20"/>
        </w:rPr>
        <w:t xml:space="preserve"/>
      </w:r>
    </w:p>
    <w:tbl>
      <w:tblPr>
        <w:tblW w:type="dxa" w:w="8640"/>
        <w:tblBorders>
          <w:top w:val="single" w:color="auto" w:sz="4"/>
          <w:left w:val="single" w:color="auto" w:sz="4"/>
          <w:bottom w:val="single" w:color="auto" w:sz="4"/>
          <w:right w:val="single" w:color="auto" w:sz="4"/>
          <w:insideH w:val="single" w:color="auto" w:sz="4"/>
          <w:insideV w:val="single" w:color="auto" w:sz="4"/>
        </w:tblBorders>
      </w:tblPr>
      <w:tblGrid>
        <w:gridCol w:w="4320"/>
        <w:gridCol w:w="4320"/>
      </w:tblGrid>
      <w:tr>
        <w:tc>
          <w:tcPr>
            <w:tcW w:type="dxa" w:w="4320"/>
            <w:tcBorders>
              <w:top w:val="single" w:color="CCCCCC" w:sz="4"/>
              <w:left w:val="single" w:color="CCCCCC" w:sz="4"/>
              <w:bottom w:val="single" w:color="CCCCCC" w:sz="4"/>
              <w:right w:val="single" w:color="CCCCCC" w:sz="4"/>
            </w:tcBorders>
            <w:shd w:fill="F9F9F9" w:val="clear"/>
            <w:tcMar>
              <w:top w:type="dxa" w:w="120"/>
              <w:left w:type="dxa" w:w="200"/>
              <w:bottom w:type="dxa" w:w="120"/>
              <w:right w:type="dxa" w:w="200"/>
            </w:tcMar>
          </w:tcPr>
          <w:p>
            <w:pPr>
              <w:spacing w:after="80" w:before="80" w:line="276"/>
            </w:pPr>
            <w:r>
              <w:rPr>
                <w:rFonts w:ascii="Times New Roman" w:cs="Times New Roman" w:eastAsia="Times New Roman" w:hAnsi="Times New Roman"/>
                <w:b/>
                <w:bCs/>
                <w:sz w:val="20"/>
                <w:szCs w:val="20"/>
              </w:rPr>
              <w:t xml:space="preserve">DUNDER AI INC.</w:t>
            </w:r>
          </w:p>
        </w:tc>
        <w:tc>
          <w:tcPr>
            <w:tcW w:type="dxa" w:w="4320"/>
            <w:tcBorders>
              <w:top w:val="single" w:color="CCCCCC" w:sz="4"/>
              <w:left w:val="single" w:color="CCCCCC" w:sz="4"/>
              <w:bottom w:val="single" w:color="CCCCCC" w:sz="4"/>
              <w:right w:val="single" w:color="CCCCCC" w:sz="4"/>
            </w:tcBorders>
            <w:shd w:fill="F9F9F9" w:val="clear"/>
            <w:tcMar>
              <w:top w:type="dxa" w:w="120"/>
              <w:left w:type="dxa" w:w="200"/>
              <w:bottom w:type="dxa" w:w="120"/>
              <w:right w:type="dxa" w:w="200"/>
            </w:tcMar>
          </w:tcPr>
          <w:p>
            <w:pPr>
              <w:spacing w:after="80" w:before="80" w:line="276"/>
            </w:pPr>
            <w:r>
              <w:rPr>
                <w:rFonts w:ascii="Times New Roman" w:cs="Times New Roman" w:eastAsia="Times New Roman" w:hAnsi="Times New Roman"/>
                <w:b/>
                <w:bCs/>
                <w:sz w:val="20"/>
                <w:szCs w:val="20"/>
              </w:rPr>
              <w:t xml:space="preserve">INITECH FINANCIAL GROUP INC.</w:t>
            </w:r>
          </w:p>
        </w:tc>
      </w:tr>
      <w:tr>
        <w:tc>
          <w:tcPr>
            <w:tcW w:type="dxa" w:w="4320"/>
            <w:tcBorders>
              <w:top w:val="single" w:color="CCCCCC" w:sz="4"/>
              <w:left w:val="single" w:color="CCCCCC" w:sz="4"/>
              <w:bottom w:val="single" w:color="CCCCCC" w:sz="4"/>
              <w:right w:val="single" w:color="CCCCCC" w:sz="4"/>
            </w:tcBorders>
            <w:shd w:fill="F9F9F9" w:val="clear"/>
            <w:tcMar>
              <w:top w:type="dxa" w:w="120"/>
              <w:left w:type="dxa" w:w="200"/>
              <w:bottom w:type="dxa" w:w="120"/>
              <w:right w:type="dxa" w:w="200"/>
            </w:tcMar>
          </w:tcPr>
          <w:p>
            <w:pPr>
              <w:spacing w:after="80" w:before="80" w:line="276"/>
            </w:pPr>
            <w:r>
              <w:rPr>
                <w:rFonts w:ascii="Times New Roman" w:cs="Times New Roman" w:eastAsia="Times New Roman" w:hAnsi="Times New Roman"/>
                <w:sz w:val="20"/>
                <w:szCs w:val="20"/>
              </w:rPr>
              <w:t xml:space="preserve">Signature:</w:t>
            </w:r>
          </w:p>
          <w:p>
            <w:pPr>
              <w:spacing w:after="0" w:before="120"/>
            </w:pPr>
            <w:r>
              <w:rPr>
                <w:rFonts w:ascii="Times New Roman" w:cs="Times New Roman" w:eastAsia="Times New Roman" w:hAnsi="Times New Roman"/>
                <w:sz w:val="20"/>
                <w:szCs w:val="20"/>
              </w:rPr>
              <w:t xml:space="preserve"/>
            </w:r>
          </w:p>
          <w:p>
            <w:pPr>
              <w:spacing w:after="40" w:before="0"/>
            </w:pPr>
            <w:r>
              <w:rPr>
                <w:rFonts w:ascii="Times New Roman" w:cs="Times New Roman" w:eastAsia="Times New Roman" w:hAnsi="Times New Roman"/>
                <w:sz w:val="20"/>
                <w:szCs w:val="20"/>
              </w:rPr>
              <w:t xml:space="preserve">________________________</w:t>
            </w:r>
          </w:p>
        </w:tc>
        <w:tc>
          <w:tcPr>
            <w:tcW w:type="dxa" w:w="4320"/>
            <w:tcBorders>
              <w:top w:val="single" w:color="CCCCCC" w:sz="4"/>
              <w:left w:val="single" w:color="CCCCCC" w:sz="4"/>
              <w:bottom w:val="single" w:color="CCCCCC" w:sz="4"/>
              <w:right w:val="single" w:color="CCCCCC" w:sz="4"/>
            </w:tcBorders>
            <w:shd w:fill="F9F9F9" w:val="clear"/>
            <w:tcMar>
              <w:top w:type="dxa" w:w="120"/>
              <w:left w:type="dxa" w:w="200"/>
              <w:bottom w:type="dxa" w:w="120"/>
              <w:right w:type="dxa" w:w="200"/>
            </w:tcMar>
          </w:tcPr>
          <w:p>
            <w:pPr>
              <w:spacing w:after="80" w:before="80" w:line="276"/>
            </w:pPr>
            <w:r>
              <w:rPr>
                <w:rFonts w:ascii="Times New Roman" w:cs="Times New Roman" w:eastAsia="Times New Roman" w:hAnsi="Times New Roman"/>
                <w:sz w:val="20"/>
                <w:szCs w:val="20"/>
              </w:rPr>
              <w:t xml:space="preserve">Signature:</w:t>
            </w:r>
          </w:p>
          <w:p>
            <w:pPr>
              <w:spacing w:after="0" w:before="120"/>
            </w:pPr>
            <w:r>
              <w:rPr>
                <w:rFonts w:ascii="Times New Roman" w:cs="Times New Roman" w:eastAsia="Times New Roman" w:hAnsi="Times New Roman"/>
                <w:sz w:val="20"/>
                <w:szCs w:val="20"/>
              </w:rPr>
              <w:t xml:space="preserve"/>
            </w:r>
          </w:p>
          <w:p>
            <w:pPr>
              <w:spacing w:after="40" w:before="0"/>
            </w:pPr>
            <w:r>
              <w:rPr>
                <w:rFonts w:ascii="Times New Roman" w:cs="Times New Roman" w:eastAsia="Times New Roman" w:hAnsi="Times New Roman"/>
                <w:sz w:val="20"/>
                <w:szCs w:val="20"/>
              </w:rPr>
              <w:t xml:space="preserve">________________________</w:t>
            </w:r>
          </w:p>
        </w:tc>
      </w:tr>
      <w:tr>
        <w:tc>
          <w:tcPr>
            <w:tcW w:type="dxa" w:w="4320"/>
            <w:tcBorders>
              <w:top w:val="single" w:color="CCCCCC" w:sz="4"/>
              <w:left w:val="single" w:color="CCCCCC" w:sz="4"/>
              <w:bottom w:val="single" w:color="CCCCCC" w:sz="4"/>
              <w:right w:val="single" w:color="CCCCCC" w:sz="4"/>
            </w:tcBorders>
            <w:shd w:fill="F9F9F9" w:val="clear"/>
            <w:tcMar>
              <w:top w:type="dxa" w:w="120"/>
              <w:left w:type="dxa" w:w="200"/>
              <w:bottom w:type="dxa" w:w="120"/>
              <w:right w:type="dxa" w:w="200"/>
            </w:tcMar>
          </w:tcPr>
          <w:p>
            <w:pPr>
              <w:spacing w:after="80" w:before="80" w:line="276"/>
            </w:pPr>
            <w:r>
              <w:rPr>
                <w:rFonts w:ascii="Times New Roman" w:cs="Times New Roman" w:eastAsia="Times New Roman" w:hAnsi="Times New Roman"/>
                <w:sz w:val="20"/>
                <w:szCs w:val="20"/>
              </w:rPr>
              <w:t xml:space="preserve">Name:</w:t>
            </w:r>
          </w:p>
          <w:p>
            <w:pPr>
              <w:spacing w:after="0" w:before="120"/>
            </w:pPr>
            <w:r>
              <w:rPr>
                <w:rFonts w:ascii="Times New Roman" w:cs="Times New Roman" w:eastAsia="Times New Roman" w:hAnsi="Times New Roman"/>
                <w:sz w:val="20"/>
                <w:szCs w:val="20"/>
              </w:rPr>
              <w:t xml:space="preserve"/>
            </w:r>
          </w:p>
          <w:p>
            <w:pPr>
              <w:spacing w:after="40" w:before="0"/>
            </w:pPr>
            <w:r>
              <w:rPr>
                <w:rFonts w:ascii="Times New Roman" w:cs="Times New Roman" w:eastAsia="Times New Roman" w:hAnsi="Times New Roman"/>
                <w:sz w:val="20"/>
                <w:szCs w:val="20"/>
              </w:rPr>
              <w:t xml:space="preserve">________________________</w:t>
            </w:r>
          </w:p>
        </w:tc>
        <w:tc>
          <w:tcPr>
            <w:tcW w:type="dxa" w:w="4320"/>
            <w:tcBorders>
              <w:top w:val="single" w:color="CCCCCC" w:sz="4"/>
              <w:left w:val="single" w:color="CCCCCC" w:sz="4"/>
              <w:bottom w:val="single" w:color="CCCCCC" w:sz="4"/>
              <w:right w:val="single" w:color="CCCCCC" w:sz="4"/>
            </w:tcBorders>
            <w:shd w:fill="F9F9F9" w:val="clear"/>
            <w:tcMar>
              <w:top w:type="dxa" w:w="120"/>
              <w:left w:type="dxa" w:w="200"/>
              <w:bottom w:type="dxa" w:w="120"/>
              <w:right w:type="dxa" w:w="200"/>
            </w:tcMar>
          </w:tcPr>
          <w:p>
            <w:pPr>
              <w:spacing w:after="80" w:before="80" w:line="276"/>
            </w:pPr>
            <w:r>
              <w:rPr>
                <w:rFonts w:ascii="Times New Roman" w:cs="Times New Roman" w:eastAsia="Times New Roman" w:hAnsi="Times New Roman"/>
                <w:sz w:val="20"/>
                <w:szCs w:val="20"/>
              </w:rPr>
              <w:t xml:space="preserve">Name:</w:t>
            </w:r>
          </w:p>
          <w:p>
            <w:pPr>
              <w:spacing w:after="0" w:before="120"/>
            </w:pPr>
            <w:r>
              <w:rPr>
                <w:rFonts w:ascii="Times New Roman" w:cs="Times New Roman" w:eastAsia="Times New Roman" w:hAnsi="Times New Roman"/>
                <w:sz w:val="20"/>
                <w:szCs w:val="20"/>
              </w:rPr>
              <w:t xml:space="preserve"/>
            </w:r>
          </w:p>
          <w:p>
            <w:pPr>
              <w:spacing w:after="40" w:before="0"/>
            </w:pPr>
            <w:r>
              <w:rPr>
                <w:rFonts w:ascii="Times New Roman" w:cs="Times New Roman" w:eastAsia="Times New Roman" w:hAnsi="Times New Roman"/>
                <w:sz w:val="20"/>
                <w:szCs w:val="20"/>
              </w:rPr>
              <w:t xml:space="preserve">________________________</w:t>
            </w:r>
          </w:p>
        </w:tc>
      </w:tr>
      <w:tr>
        <w:tc>
          <w:tcPr>
            <w:tcW w:type="dxa" w:w="4320"/>
            <w:tcBorders>
              <w:top w:val="single" w:color="CCCCCC" w:sz="4"/>
              <w:left w:val="single" w:color="CCCCCC" w:sz="4"/>
              <w:bottom w:val="single" w:color="CCCCCC" w:sz="4"/>
              <w:right w:val="single" w:color="CCCCCC" w:sz="4"/>
            </w:tcBorders>
            <w:shd w:fill="F9F9F9" w:val="clear"/>
            <w:tcMar>
              <w:top w:type="dxa" w:w="120"/>
              <w:left w:type="dxa" w:w="200"/>
              <w:bottom w:type="dxa" w:w="120"/>
              <w:right w:type="dxa" w:w="200"/>
            </w:tcMar>
          </w:tcPr>
          <w:p>
            <w:pPr>
              <w:spacing w:after="80" w:before="80" w:line="276"/>
            </w:pPr>
            <w:r>
              <w:rPr>
                <w:rFonts w:ascii="Times New Roman" w:cs="Times New Roman" w:eastAsia="Times New Roman" w:hAnsi="Times New Roman"/>
                <w:sz w:val="20"/>
                <w:szCs w:val="20"/>
              </w:rPr>
              <w:t xml:space="preserve">Title:</w:t>
            </w:r>
          </w:p>
          <w:p>
            <w:pPr>
              <w:spacing w:after="0" w:before="120"/>
            </w:pPr>
            <w:r>
              <w:rPr>
                <w:rFonts w:ascii="Times New Roman" w:cs="Times New Roman" w:eastAsia="Times New Roman" w:hAnsi="Times New Roman"/>
                <w:sz w:val="20"/>
                <w:szCs w:val="20"/>
              </w:rPr>
              <w:t xml:space="preserve"/>
            </w:r>
          </w:p>
          <w:p>
            <w:pPr>
              <w:spacing w:after="40" w:before="0"/>
            </w:pPr>
            <w:r>
              <w:rPr>
                <w:rFonts w:ascii="Times New Roman" w:cs="Times New Roman" w:eastAsia="Times New Roman" w:hAnsi="Times New Roman"/>
                <w:sz w:val="20"/>
                <w:szCs w:val="20"/>
              </w:rPr>
              <w:t xml:space="preserve">________________________</w:t>
            </w:r>
          </w:p>
        </w:tc>
        <w:tc>
          <w:tcPr>
            <w:tcW w:type="dxa" w:w="4320"/>
            <w:tcBorders>
              <w:top w:val="single" w:color="CCCCCC" w:sz="4"/>
              <w:left w:val="single" w:color="CCCCCC" w:sz="4"/>
              <w:bottom w:val="single" w:color="CCCCCC" w:sz="4"/>
              <w:right w:val="single" w:color="CCCCCC" w:sz="4"/>
            </w:tcBorders>
            <w:shd w:fill="F9F9F9" w:val="clear"/>
            <w:tcMar>
              <w:top w:type="dxa" w:w="120"/>
              <w:left w:type="dxa" w:w="200"/>
              <w:bottom w:type="dxa" w:w="120"/>
              <w:right w:type="dxa" w:w="200"/>
            </w:tcMar>
          </w:tcPr>
          <w:p>
            <w:pPr>
              <w:spacing w:after="80" w:before="80" w:line="276"/>
            </w:pPr>
            <w:r>
              <w:rPr>
                <w:rFonts w:ascii="Times New Roman" w:cs="Times New Roman" w:eastAsia="Times New Roman" w:hAnsi="Times New Roman"/>
                <w:sz w:val="20"/>
                <w:szCs w:val="20"/>
              </w:rPr>
              <w:t xml:space="preserve">Title:</w:t>
            </w:r>
          </w:p>
          <w:p>
            <w:pPr>
              <w:spacing w:after="0" w:before="120"/>
            </w:pPr>
            <w:r>
              <w:rPr>
                <w:rFonts w:ascii="Times New Roman" w:cs="Times New Roman" w:eastAsia="Times New Roman" w:hAnsi="Times New Roman"/>
                <w:sz w:val="20"/>
                <w:szCs w:val="20"/>
              </w:rPr>
              <w:t xml:space="preserve"/>
            </w:r>
          </w:p>
          <w:p>
            <w:pPr>
              <w:spacing w:after="40" w:before="0"/>
            </w:pPr>
            <w:r>
              <w:rPr>
                <w:rFonts w:ascii="Times New Roman" w:cs="Times New Roman" w:eastAsia="Times New Roman" w:hAnsi="Times New Roman"/>
                <w:sz w:val="20"/>
                <w:szCs w:val="20"/>
              </w:rPr>
              <w:t xml:space="preserve">________________________</w:t>
            </w:r>
          </w:p>
        </w:tc>
      </w:tr>
      <w:tr>
        <w:tc>
          <w:tcPr>
            <w:tcW w:type="dxa" w:w="4320"/>
            <w:tcBorders>
              <w:top w:val="single" w:color="CCCCCC" w:sz="4"/>
              <w:left w:val="single" w:color="CCCCCC" w:sz="4"/>
              <w:bottom w:val="single" w:color="CCCCCC" w:sz="4"/>
              <w:right w:val="single" w:color="CCCCCC" w:sz="4"/>
            </w:tcBorders>
            <w:shd w:fill="F9F9F9" w:val="clear"/>
            <w:tcMar>
              <w:top w:type="dxa" w:w="120"/>
              <w:left w:type="dxa" w:w="200"/>
              <w:bottom w:type="dxa" w:w="120"/>
              <w:right w:type="dxa" w:w="200"/>
            </w:tcMar>
          </w:tcPr>
          <w:p>
            <w:pPr>
              <w:spacing w:after="80" w:before="80" w:line="276"/>
            </w:pPr>
            <w:r>
              <w:rPr>
                <w:rFonts w:ascii="Times New Roman" w:cs="Times New Roman" w:eastAsia="Times New Roman" w:hAnsi="Times New Roman"/>
                <w:sz w:val="20"/>
                <w:szCs w:val="20"/>
              </w:rPr>
              <w:t xml:space="preserve">Date:</w:t>
            </w:r>
          </w:p>
          <w:p>
            <w:pPr>
              <w:spacing w:after="0" w:before="120"/>
            </w:pPr>
            <w:r>
              <w:rPr>
                <w:rFonts w:ascii="Times New Roman" w:cs="Times New Roman" w:eastAsia="Times New Roman" w:hAnsi="Times New Roman"/>
                <w:sz w:val="20"/>
                <w:szCs w:val="20"/>
              </w:rPr>
              <w:t xml:space="preserve"/>
            </w:r>
          </w:p>
          <w:p>
            <w:pPr>
              <w:spacing w:after="40" w:before="0"/>
            </w:pPr>
            <w:r>
              <w:rPr>
                <w:rFonts w:ascii="Times New Roman" w:cs="Times New Roman" w:eastAsia="Times New Roman" w:hAnsi="Times New Roman"/>
                <w:sz w:val="20"/>
                <w:szCs w:val="20"/>
              </w:rPr>
              <w:t xml:space="preserve">________________________</w:t>
            </w:r>
          </w:p>
        </w:tc>
        <w:tc>
          <w:tcPr>
            <w:tcW w:type="dxa" w:w="4320"/>
            <w:tcBorders>
              <w:top w:val="single" w:color="CCCCCC" w:sz="4"/>
              <w:left w:val="single" w:color="CCCCCC" w:sz="4"/>
              <w:bottom w:val="single" w:color="CCCCCC" w:sz="4"/>
              <w:right w:val="single" w:color="CCCCCC" w:sz="4"/>
            </w:tcBorders>
            <w:shd w:fill="F9F9F9" w:val="clear"/>
            <w:tcMar>
              <w:top w:type="dxa" w:w="120"/>
              <w:left w:type="dxa" w:w="200"/>
              <w:bottom w:type="dxa" w:w="120"/>
              <w:right w:type="dxa" w:w="200"/>
            </w:tcMar>
          </w:tcPr>
          <w:p>
            <w:pPr>
              <w:spacing w:after="80" w:before="80" w:line="276"/>
            </w:pPr>
            <w:r>
              <w:rPr>
                <w:rFonts w:ascii="Times New Roman" w:cs="Times New Roman" w:eastAsia="Times New Roman" w:hAnsi="Times New Roman"/>
                <w:sz w:val="20"/>
                <w:szCs w:val="20"/>
              </w:rPr>
              <w:t xml:space="preserve">Date:</w:t>
            </w:r>
          </w:p>
          <w:p>
            <w:pPr>
              <w:spacing w:after="0" w:before="120"/>
            </w:pPr>
            <w:r>
              <w:rPr>
                <w:rFonts w:ascii="Times New Roman" w:cs="Times New Roman" w:eastAsia="Times New Roman" w:hAnsi="Times New Roman"/>
                <w:sz w:val="20"/>
                <w:szCs w:val="20"/>
              </w:rPr>
              <w:t xml:space="preserve"/>
            </w:r>
          </w:p>
          <w:p>
            <w:pPr>
              <w:spacing w:after="40" w:before="0"/>
            </w:pPr>
            <w:r>
              <w:rPr>
                <w:rFonts w:ascii="Times New Roman" w:cs="Times New Roman" w:eastAsia="Times New Roman" w:hAnsi="Times New Roman"/>
                <w:sz w:val="20"/>
                <w:szCs w:val="20"/>
              </w:rPr>
              <w:t xml:space="preserve">________________________</w:t>
            </w:r>
          </w:p>
        </w:tc>
      </w:tr>
    </w:tbl>
    <w:p>
      <w:pPr>
        <w:spacing w:after="0" w:before="0"/>
      </w:pPr>
      <w:r>
        <w:rPr>
          <w:rFonts w:ascii="Times New Roman" w:cs="Times New Roman" w:eastAsia="Times New Roman" w:hAnsi="Times New Roman"/>
          <w:sz w:val="20"/>
          <w:szCs w:val="20"/>
        </w:rPr>
        <w:t xml:space="preserve"/>
      </w:r>
    </w:p>
    <w:p>
      <w:pPr>
        <w:spacing w:after="0" w:before="0"/>
      </w:pPr>
      <w:r>
        <w:br w:type="page"/>
      </w:r>
    </w:p>
    <w:p>
      <w:pPr>
        <w:pStyle w:val="Heading2"/>
        <w:spacing w:after="80" w:before="240"/>
        <w:outlineLvl w:val="1"/>
      </w:pPr>
      <w:r>
        <w:rPr>
          <w:rFonts w:ascii="Times New Roman" w:cs="Times New Roman" w:eastAsia="Times New Roman" w:hAnsi="Times New Roman"/>
          <w:b/>
          <w:bCs/>
          <w:caps/>
          <w:color w:val="1F3864"/>
          <w:sz w:val="22"/>
          <w:szCs w:val="22"/>
        </w:rPr>
        <w:t xml:space="preserve">EXHIBIT A — FORM OF ORDER FORM</w:t>
      </w:r>
    </w:p>
    <w:p>
      <w:pPr>
        <w:spacing w:after="0" w:before="0"/>
      </w:pPr>
      <w:r>
        <w:rPr>
          <w:rFonts w:ascii="Times New Roman" w:cs="Times New Roman" w:eastAsia="Times New Roman" w:hAnsi="Times New Roman"/>
          <w:sz w:val="20"/>
          <w:szCs w:val="20"/>
        </w:rPr>
        <w:t xml:space="preserve"/>
      </w:r>
    </w:p>
    <w:p>
      <w:pPr>
        <w:spacing w:after="80" w:before="80" w:line="276"/>
      </w:pPr>
      <w:r>
        <w:rPr>
          <w:rFonts w:ascii="Times New Roman" w:cs="Times New Roman" w:eastAsia="Times New Roman" w:hAnsi="Times New Roman"/>
          <w:sz w:val="20"/>
          <w:szCs w:val="20"/>
        </w:rPr>
        <w:t xml:space="preserve">[To be negotiated and executed by the parties in connection with each engagement.]</w:t>
      </w:r>
    </w:p>
    <w:p>
      <w:pPr>
        <w:spacing w:after="0" w:before="0"/>
      </w:pPr>
      <w:r>
        <w:rPr>
          <w:rFonts w:ascii="Times New Roman" w:cs="Times New Roman" w:eastAsia="Times New Roman" w:hAnsi="Times New Roman"/>
          <w:sz w:val="20"/>
          <w:szCs w:val="20"/>
        </w:rPr>
        <w:t xml:space="preserve"/>
      </w:r>
    </w:p>
    <w:p>
      <w:pPr>
        <w:spacing w:after="80" w:before="80" w:line="276"/>
      </w:pPr>
      <w:r>
        <w:rPr>
          <w:rFonts w:ascii="Times New Roman" w:cs="Times New Roman" w:eastAsia="Times New Roman" w:hAnsi="Times New Roman"/>
          <w:sz w:val="20"/>
          <w:szCs w:val="20"/>
        </w:rPr>
        <w:t xml:space="preserve">Each Order Form shall specify at minimum: (a) description of Services; (b) fees and payment schedule; (c) subscription term; (d) any Custom Developments and associated fees; (e) any SLA credits; and (f) any additional terms not inconsistent with this Agreement.</w:t>
      </w:r>
    </w:p>
    <w:p>
      <w:pPr>
        <w:spacing w:after="0" w:before="0"/>
      </w:pPr>
      <w:r>
        <w:rPr>
          <w:rFonts w:ascii="Times New Roman" w:cs="Times New Roman" w:eastAsia="Times New Roman" w:hAnsi="Times New Roman"/>
          <w:sz w:val="20"/>
          <w:szCs w:val="20"/>
        </w:rPr>
        <w:t xml:space="preserve"/>
      </w:r>
    </w:p>
    <w:p>
      <w:pPr>
        <w:pStyle w:val="Heading2"/>
        <w:spacing w:after="80" w:before="240"/>
        <w:outlineLvl w:val="1"/>
      </w:pPr>
      <w:r>
        <w:rPr>
          <w:rFonts w:ascii="Times New Roman" w:cs="Times New Roman" w:eastAsia="Times New Roman" w:hAnsi="Times New Roman"/>
          <w:b/>
          <w:bCs/>
          <w:caps/>
          <w:color w:val="1F3864"/>
          <w:sz w:val="22"/>
          <w:szCs w:val="22"/>
        </w:rPr>
        <w:t xml:space="preserve">EXHIBIT B — MINIMUM INSURANCE REQUIREMENTS</w:t>
      </w:r>
    </w:p>
    <w:p>
      <w:pPr>
        <w:spacing w:after="0" w:before="0"/>
      </w:pPr>
      <w:r>
        <w:rPr>
          <w:rFonts w:ascii="Times New Roman" w:cs="Times New Roman" w:eastAsia="Times New Roman" w:hAnsi="Times New Roman"/>
          <w:sz w:val="20"/>
          <w:szCs w:val="20"/>
        </w:rPr>
        <w:t xml:space="preserve"/>
      </w:r>
    </w:p>
    <w:p>
      <w:pPr>
        <w:spacing w:after="80" w:before="80" w:line="276"/>
      </w:pPr>
      <w:r>
        <w:rPr>
          <w:rFonts w:ascii="Times New Roman" w:cs="Times New Roman" w:eastAsia="Times New Roman" w:hAnsi="Times New Roman"/>
          <w:sz w:val="20"/>
          <w:szCs w:val="20"/>
        </w:rPr>
        <w:t xml:space="preserve">Vendor shall maintain the following minimum insurance coverages throughout the term of this Agreement:</w:t>
      </w:r>
    </w:p>
    <w:p>
      <w:pPr>
        <w:spacing w:after="0" w:before="0"/>
      </w:pPr>
      <w:r>
        <w:rPr>
          <w:rFonts w:ascii="Times New Roman" w:cs="Times New Roman" w:eastAsia="Times New Roman" w:hAnsi="Times New Roman"/>
          <w:sz w:val="20"/>
          <w:szCs w:val="20"/>
        </w:rPr>
        <w:t xml:space="preserve"/>
      </w:r>
    </w:p>
    <w:p>
      <w:pPr>
        <w:spacing w:after="80" w:before="80" w:line="276"/>
      </w:pPr>
      <w:r>
        <w:rPr>
          <w:rFonts w:ascii="Times New Roman" w:cs="Times New Roman" w:eastAsia="Times New Roman" w:hAnsi="Times New Roman"/>
          <w:b/>
          <w:bCs/>
          <w:sz w:val="20"/>
          <w:szCs w:val="20"/>
        </w:rPr>
        <w:t xml:space="preserve">1.  Commercial General Liability:</w:t>
      </w:r>
      <w:r>
        <w:rPr>
          <w:rFonts w:ascii="Times New Roman" w:cs="Times New Roman" w:eastAsia="Times New Roman" w:hAnsi="Times New Roman"/>
          <w:sz w:val="20"/>
          <w:szCs w:val="20"/>
        </w:rPr>
        <w:t xml:space="preserve"> $5,000,000 per occurrence, $10,000,000 aggregate.</w:t>
      </w:r>
    </w:p>
    <w:p>
      <w:pPr>
        <w:spacing w:after="80" w:before="80" w:line="276"/>
      </w:pPr>
      <w:r>
        <w:rPr>
          <w:rFonts w:ascii="Times New Roman" w:cs="Times New Roman" w:eastAsia="Times New Roman" w:hAnsi="Times New Roman"/>
          <w:b/>
          <w:bCs/>
          <w:sz w:val="20"/>
          <w:szCs w:val="20"/>
        </w:rPr>
        <w:t xml:space="preserve">2.  Professional Liability (E&amp;O):</w:t>
      </w:r>
      <w:r>
        <w:rPr>
          <w:rFonts w:ascii="Times New Roman" w:cs="Times New Roman" w:eastAsia="Times New Roman" w:hAnsi="Times New Roman"/>
          <w:sz w:val="20"/>
          <w:szCs w:val="20"/>
        </w:rPr>
        <w:t xml:space="preserve"> $5,000,000 per occurrence.</w:t>
      </w:r>
    </w:p>
    <w:p>
      <w:pPr>
        <w:spacing w:after="80" w:before="80" w:line="276"/>
      </w:pPr>
      <w:r>
        <w:rPr>
          <w:rFonts w:ascii="Times New Roman" w:cs="Times New Roman" w:eastAsia="Times New Roman" w:hAnsi="Times New Roman"/>
          <w:b/>
          <w:bCs/>
          <w:sz w:val="20"/>
          <w:szCs w:val="20"/>
        </w:rPr>
        <w:t xml:space="preserve">3.  Cyber Liability:</w:t>
      </w:r>
      <w:r>
        <w:rPr>
          <w:rFonts w:ascii="Times New Roman" w:cs="Times New Roman" w:eastAsia="Times New Roman" w:hAnsi="Times New Roman"/>
          <w:sz w:val="20"/>
          <w:szCs w:val="20"/>
        </w:rPr>
        <w:t xml:space="preserve"> $10,000,000 per occurrence, including first-party and third-party coverage for data breach, business interruption, network security failure, and regulatory defence costs.</w:t>
      </w:r>
    </w:p>
    <w:p>
      <w:pPr>
        <w:spacing w:after="0" w:before="0"/>
      </w:pPr>
      <w:r>
        <w:rPr>
          <w:rFonts w:ascii="Times New Roman" w:cs="Times New Roman" w:eastAsia="Times New Roman" w:hAnsi="Times New Roman"/>
          <w:sz w:val="20"/>
          <w:szCs w:val="20"/>
        </w:rPr>
        <w:t xml:space="preserve"/>
      </w:r>
    </w:p>
    <w:p>
      <w:pPr>
        <w:spacing w:after="80" w:before="80" w:line="276"/>
      </w:pPr>
      <w:r>
        <w:rPr>
          <w:rFonts w:ascii="Times New Roman" w:cs="Times New Roman" w:eastAsia="Times New Roman" w:hAnsi="Times New Roman"/>
          <w:sz w:val="20"/>
          <w:szCs w:val="20"/>
        </w:rPr>
        <w:t xml:space="preserve">Vendor shall name Initech Financial Group Inc. as an additional insured on all policies listed above. Certificates of insurance shall be provided to Client within five (5) business days of execution of this Agreement and upon each renewal.</w:t>
      </w:r>
    </w:p>
    <w:p>
      <w:pPr>
        <w:spacing w:after="0" w:before="0"/>
      </w:pPr>
      <w:r>
        <w:rPr>
          <w:rFonts w:ascii="Times New Roman" w:cs="Times New Roman" w:eastAsia="Times New Roman" w:hAnsi="Times New Roman"/>
          <w:sz w:val="20"/>
          <w:szCs w:val="20"/>
        </w:rPr>
        <w:t xml:space="preserve"/>
      </w:r>
    </w:p>
    <w:p>
      <w:pPr>
        <w:pStyle w:val="Heading2"/>
        <w:spacing w:after="80" w:before="240"/>
        <w:outlineLvl w:val="1"/>
      </w:pPr>
      <w:r>
        <w:rPr>
          <w:rFonts w:ascii="Times New Roman" w:cs="Times New Roman" w:eastAsia="Times New Roman" w:hAnsi="Times New Roman"/>
          <w:b/>
          <w:bCs/>
          <w:caps/>
          <w:color w:val="1F3864"/>
          <w:sz w:val="22"/>
          <w:szCs w:val="22"/>
        </w:rPr>
        <w:t xml:space="preserve">EXHIBIT C — DATA PROCESSING ADDENDUM</w:t>
      </w:r>
    </w:p>
    <w:p>
      <w:pPr>
        <w:spacing w:after="0" w:before="0"/>
      </w:pPr>
      <w:r>
        <w:rPr>
          <w:rFonts w:ascii="Times New Roman" w:cs="Times New Roman" w:eastAsia="Times New Roman" w:hAnsi="Times New Roman"/>
          <w:sz w:val="20"/>
          <w:szCs w:val="20"/>
        </w:rPr>
        <w:t xml:space="preserve"/>
      </w:r>
    </w:p>
    <w:p>
      <w:pPr>
        <w:spacing w:after="80" w:before="80" w:line="276"/>
      </w:pPr>
      <w:r>
        <w:rPr>
          <w:rFonts w:ascii="Times New Roman" w:cs="Times New Roman" w:eastAsia="Times New Roman" w:hAnsi="Times New Roman"/>
          <w:sz w:val="20"/>
          <w:szCs w:val="20"/>
        </w:rPr>
        <w:t xml:space="preserve">[To be negotiated and executed by the parties prior to any processing of Personal Information. The Data Processing Addendum shall incorporate Vendor's obligations under Section 9 of this Agreement and shall comply with PIPEDA and applicable OSFI guidelines.]</w:t>
      </w:r>
    </w:p>
    <w:sectPr>
      <w:headerReference w:type="default" r:id="rId9"/>
      <w:footerReference w:type="default" r:id="rId10"/>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BFBFBF" w:sz="2" w:space="4"/>
      </w:pBdr>
      <w:spacing w:before="60"/>
    </w:pPr>
    <w:r>
      <w:rPr>
        <w:rFonts w:ascii="Times New Roman" w:cs="Times New Roman" w:eastAsia="Times New Roman" w:hAnsi="Times New Roman"/>
        <w:color w:val="4A4A4A"/>
        <w:sz w:val="16"/>
        <w:szCs w:val="16"/>
      </w:rPr>
      <w:t xml:space="preserve">© 2025 Dunder AI Inc. &amp; Initech Financial Group Inc.  All rights reserved.    Page </w:t>
    </w:r>
    <w:pgNum/>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BFBFBF" w:sz="2" w:space="4"/>
      </w:pBdr>
      <w:spacing w:before="60"/>
    </w:pPr>
    <w:r>
      <w:rPr>
        <w:rFonts w:ascii="Times New Roman" w:cs="Times New Roman" w:eastAsia="Times New Roman" w:hAnsi="Times New Roman"/>
        <w:color w:val="4A4A4A"/>
        <w:sz w:val="16"/>
        <w:szCs w:val="16"/>
      </w:rPr>
      <w:t xml:space="preserve">© 2025 Dunder AI Inc. &amp; Initech Financial Group Inc.  All rights reserved.    Page </w:t>
    </w:r>
    <w:pgNum/>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BFBFBF" w:sz="2" w:space="4"/>
      </w:pBdr>
      <w:spacing w:after="60"/>
    </w:pPr>
    <w:r>
      <w:rPr>
        <w:rFonts w:ascii="Times New Roman" w:cs="Times New Roman" w:eastAsia="Times New Roman" w:hAnsi="Times New Roman"/>
        <w:color w:val="4A4A4A"/>
        <w:sz w:val="16"/>
        <w:szCs w:val="16"/>
      </w:rPr>
      <w:t xml:space="preserve">DUNDER AI INC. / INITECH FINANCIAL GROUP INC.</w:t>
    </w:r>
    <w:r>
      <w:rPr>
        <w:rFonts w:ascii="Times New Roman" w:cs="Times New Roman" w:eastAsia="Times New Roman" w:hAnsi="Times New Roman"/>
        <w:color w:val="4A4A4A"/>
        <w:sz w:val="16"/>
        <w:szCs w:val="16"/>
      </w:rPr>
      <w:t xml:space="preserve">    |    ONE-WAY NON-DISCLOSURE AGREEMENT    |    CONFIDENTIAL</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BFBFBF" w:sz="2" w:space="4"/>
      </w:pBdr>
      <w:spacing w:after="60"/>
    </w:pPr>
    <w:r>
      <w:rPr>
        <w:rFonts w:ascii="Times New Roman" w:cs="Times New Roman" w:eastAsia="Times New Roman" w:hAnsi="Times New Roman"/>
        <w:color w:val="4A4A4A"/>
        <w:sz w:val="16"/>
        <w:szCs w:val="16"/>
      </w:rPr>
      <w:t xml:space="preserve">DUNDER AI INC. / INITECH FINANCIAL GROUP INC.</w:t>
    </w:r>
    <w:r>
      <w:rPr>
        <w:rFonts w:ascii="Times New Roman" w:cs="Times New Roman" w:eastAsia="Times New Roman" w:hAnsi="Times New Roman"/>
        <w:color w:val="4A4A4A"/>
        <w:sz w:val="16"/>
        <w:szCs w:val="16"/>
      </w:rPr>
      <w:t xml:space="preserve">    |    MASTER SERVICE AGREEMENT    |    CONFIDENTIAL</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360"/>
      <w:outlineLvl w:val="0"/>
    </w:pPr>
    <w:rPr>
      <w:rFonts w:ascii="Times New Roman" w:cs="Times New Roman" w:eastAsia="Times New Roman" w:hAnsi="Times New Roman"/>
      <w:b/>
      <w:bCs/>
      <w:color w:val="1F3864"/>
      <w:sz w:val="24"/>
      <w:szCs w:val="24"/>
    </w:rPr>
  </w:style>
  <w:style w:type="paragraph" w:styleId="Heading2">
    <w:name w:val="Heading 2"/>
    <w:basedOn w:val="Normal"/>
    <w:next w:val="Normal"/>
    <w:qFormat/>
    <w:pPr>
      <w:spacing w:after="80" w:before="240"/>
      <w:outlineLvl w:val="1"/>
    </w:pPr>
    <w:rPr>
      <w:rFonts w:ascii="Times New Roman" w:cs="Times New Roman" w:eastAsia="Times New Roman" w:hAnsi="Times New Roman"/>
      <w:b/>
      <w:bCs/>
      <w:caps/>
      <w:color w:val="1F3864"/>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header" Target="header2.xml"/><Relationship Id="rId10" Type="http://schemas.openxmlformats.org/officeDocument/2006/relationships/footer" Target="footer2.xml"/><Relationship Id="rId11"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word/_rels/header2.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2026-05-09T19:35:06.692Z</dcterms:created>
  <dcterms:modified xsi:type="dcterms:W3CDTF">2026-05-09T19:35:06.692Z</dcterms:modified>
</cp:coreProperties>
</file>

<file path=docProps/custom.xml><?xml version="1.0" encoding="utf-8"?>
<Properties xmlns="http://schemas.openxmlformats.org/officeDocument/2006/custom-properties" xmlns:vt="http://schemas.openxmlformats.org/officeDocument/2006/docPropsVTypes"/>
</file>