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aramond" w:cs="Garamond" w:eastAsia="Garamond" w:hAnsi="Garamond"/>
          <w:sz w:val="20"/>
          <w:szCs w:val="20"/>
        </w:rPr>
        <w:t xml:space="preserve"/>
      </w:r>
    </w:p>
    <w:p>
      <w:pPr>
        <w:spacing w:after="0" w:before="0"/>
      </w:pPr>
      <w:r>
        <w:rPr>
          <w:rFonts w:ascii="Garamond" w:cs="Garamond" w:eastAsia="Garamond" w:hAnsi="Garamond"/>
          <w:sz w:val="20"/>
          <w:szCs w:val="20"/>
        </w:rPr>
        <w:t xml:space="preserve"/>
      </w:r>
    </w:p>
    <w:p>
      <w:pPr>
        <w:spacing w:after="60" w:before="0"/>
        <w:jc w:val="center"/>
      </w:pPr>
      <w:r>
        <w:rPr>
          <w:rFonts w:ascii="Garamond" w:cs="Garamond" w:eastAsia="Garamond" w:hAnsi="Garamond"/>
          <w:b/>
          <w:bCs/>
          <w:color w:val="005B6E"/>
          <w:sz w:val="36"/>
          <w:szCs w:val="36"/>
        </w:rPr>
        <w:t xml:space="preserve">NIMBUS HEALTH AI INC.</w:t>
      </w:r>
    </w:p>
    <w:p>
      <w:pPr>
        <w:spacing w:after="60" w:before="0"/>
        <w:jc w:val="center"/>
      </w:pPr>
      <w:r>
        <w:rPr>
          <w:rFonts w:ascii="Garamond" w:cs="Garamond" w:eastAsia="Garamond" w:hAnsi="Garamond"/>
          <w:b/>
          <w:bCs/>
          <w:color w:val="4A4A4A"/>
          <w:sz w:val="28"/>
          <w:szCs w:val="28"/>
        </w:rPr>
        <w:t xml:space="preserve">&amp;</w:t>
      </w:r>
    </w:p>
    <w:p>
      <w:pPr>
        <w:spacing w:after="200" w:before="0"/>
        <w:jc w:val="center"/>
      </w:pPr>
      <w:r>
        <w:rPr>
          <w:rFonts w:ascii="Garamond" w:cs="Garamond" w:eastAsia="Garamond" w:hAnsi="Garamond"/>
          <w:b/>
          <w:bCs/>
          <w:color w:val="005B6E"/>
          <w:sz w:val="36"/>
          <w:szCs w:val="36"/>
        </w:rPr>
        <w:t xml:space="preserve">ONTARIO HEALTH SCIENCES NETWORK</w:t>
      </w:r>
    </w:p>
    <w:p>
      <w:pPr>
        <w:spacing w:after="60" w:before="0"/>
        <w:jc w:val="center"/>
      </w:pPr>
      <w:r>
        <w:rPr>
          <w:rFonts w:ascii="Garamond" w:cs="Garamond" w:eastAsia="Garamond" w:hAnsi="Garamond"/>
          <w:b/>
          <w:bCs/>
          <w:color w:val="4A4A4A"/>
          <w:sz w:val="26"/>
          <w:szCs w:val="26"/>
        </w:rPr>
        <w:t xml:space="preserve">CONTRACT PACKAGE</w:t>
      </w:r>
    </w:p>
    <w:p>
      <w:pPr>
        <w:spacing w:after="400" w:before="0"/>
        <w:jc w:val="center"/>
      </w:pPr>
      <w:r>
        <w:rPr>
          <w:rFonts w:ascii="Garamond" w:cs="Garamond" w:eastAsia="Garamond" w:hAnsi="Garamond"/>
          <w:i/>
          <w:iCs/>
          <w:color w:val="4A4A4A"/>
          <w:sz w:val="22"/>
          <w:szCs w:val="22"/>
        </w:rPr>
        <w:t xml:space="preserve">Mutual Non-Disclosure Agreement  |  Master Service Agreement</w:t>
      </w:r>
    </w:p>
    <w:p>
      <w:pPr>
        <w:pBdr>
          <w:bottom w:val="single" w:color="AECFD4" w:sz="2" w:space="4"/>
        </w:pBdr>
        <w:spacing w:after="120" w:before="120"/>
      </w:pPr>
      <w:r>
        <w:rPr>
          <w:rFonts w:ascii="Garamond" w:cs="Garamond" w:eastAsia="Garamond" w:hAnsi="Garamond"/>
          <w:sz w:val="20"/>
          <w:szCs w:val="20"/>
        </w:rPr>
        <w:t xml:space="preserve"/>
      </w:r>
    </w:p>
    <w:p>
      <w:pPr>
        <w:spacing w:after="0" w:before="0"/>
      </w:pPr>
      <w:r>
        <w:rPr>
          <w:rFonts w:ascii="Garamond" w:cs="Garamond" w:eastAsia="Garamond" w:hAnsi="Garamond"/>
          <w:sz w:val="20"/>
          <w:szCs w:val="20"/>
        </w:rPr>
        <w:t xml:space="preserve"/>
      </w:r>
    </w:p>
    <w:p>
      <w:pPr>
        <w:spacing w:after="120" w:before="0"/>
      </w:pPr>
      <w:r>
        <w:rPr>
          <w:rFonts w:ascii="Garamond" w:cs="Garamond" w:eastAsia="Garamond" w:hAnsi="Garamond"/>
          <w:b/>
          <w:bCs/>
          <w:sz w:val="24"/>
          <w:szCs w:val="24"/>
        </w:rPr>
        <w:t xml:space="preserve">SCENARIO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B6E" w:sz="6"/>
              <w:left w:val="single" w:color="005B6E" w:sz="6"/>
              <w:bottom w:val="single" w:color="005B6E" w:sz="6"/>
              <w:right w:val="single" w:color="005B6E" w:sz="6"/>
            </w:tcBorders>
            <w:shd w:fill="E6F2F5" w:val="clear"/>
            <w:tcMar>
              <w:top w:type="dxa" w:w="160"/>
              <w:left w:type="dxa" w:w="240"/>
              <w:bottom w:type="dxa" w:w="160"/>
              <w:right w:type="dxa" w:w="240"/>
            </w:tcMar>
          </w:tcPr>
          <w:p>
            <w:pPr>
              <w:spacing w:after="40" w:before="40"/>
            </w:pPr>
            <w:r>
              <w:rPr>
                <w:rFonts w:ascii="Garamond" w:cs="Garamond" w:eastAsia="Garamond" w:hAnsi="Garamond"/>
                <w:i/>
                <w:iCs/>
                <w:color w:val="4A4A4A"/>
                <w:sz w:val="18"/>
                <w:szCs w:val="18"/>
              </w:rPr>
              <w:t xml:space="preserve">This contract package governs the deployment of Nimbus Health AI's clinical decision support platform</w:t>
            </w:r>
          </w:p>
          <w:p>
            <w:pPr>
              <w:spacing w:after="40" w:before="40"/>
            </w:pPr>
            <w:r>
              <w:rPr>
                <w:rFonts w:ascii="Garamond" w:cs="Garamond" w:eastAsia="Garamond" w:hAnsi="Garamond"/>
                <w:i/>
                <w:iCs/>
                <w:color w:val="4A4A4A"/>
                <w:sz w:val="18"/>
                <w:szCs w:val="18"/>
              </w:rPr>
              <w:t xml:space="preserve">at Ontario Health Sciences Network (OHSN) member hospitals. The deal represents Nimbus's first</w:t>
            </w:r>
          </w:p>
          <w:p>
            <w:pPr>
              <w:spacing w:after="40" w:before="40"/>
            </w:pPr>
            <w:r>
              <w:rPr>
                <w:rFonts w:ascii="Garamond" w:cs="Garamond" w:eastAsia="Garamond" w:hAnsi="Garamond"/>
                <w:i/>
                <w:iCs/>
                <w:color w:val="4A4A4A"/>
                <w:sz w:val="18"/>
                <w:szCs w:val="18"/>
              </w:rPr>
              <w:t xml:space="preserve">health-system enterprise deployment and its largest contract by 4x. OHSN is subject to PHIPA, the</w:t>
            </w:r>
          </w:p>
          <w:p>
            <w:pPr>
              <w:spacing w:after="40" w:before="40"/>
            </w:pPr>
            <w:r>
              <w:rPr>
                <w:rFonts w:ascii="Garamond" w:cs="Garamond" w:eastAsia="Garamond" w:hAnsi="Garamond"/>
                <w:i/>
                <w:iCs/>
                <w:color w:val="4A4A4A"/>
                <w:sz w:val="18"/>
                <w:szCs w:val="18"/>
              </w:rPr>
              <w:t xml:space="preserve">Excellent Care for All Act, and HIROC (Healthcare Insurance Reciprocal of Canada) insurance program</w:t>
            </w:r>
          </w:p>
          <w:p>
            <w:pPr>
              <w:spacing w:after="40" w:before="40"/>
            </w:pPr>
            <w:r>
              <w:rPr>
                <w:rFonts w:ascii="Garamond" w:cs="Garamond" w:eastAsia="Garamond" w:hAnsi="Garamond"/>
                <w:i/>
                <w:iCs/>
                <w:color w:val="4A4A4A"/>
                <w:sz w:val="18"/>
                <w:szCs w:val="18"/>
              </w:rPr>
              <w:t xml:space="preserve">requirements. The platform uses machine learning to predict sepsis onset and ICU deterioration events</w:t>
            </w:r>
          </w:p>
          <w:p>
            <w:pPr>
              <w:spacing w:after="40" w:before="40"/>
            </w:pPr>
            <w:r>
              <w:rPr>
                <w:rFonts w:ascii="Garamond" w:cs="Garamond" w:eastAsia="Garamond" w:hAnsi="Garamond"/>
                <w:i/>
                <w:iCs/>
                <w:color w:val="4A4A4A"/>
                <w:sz w:val="18"/>
                <w:szCs w:val="18"/>
              </w:rPr>
              <w:t xml:space="preserve">from real-time EHR data. Pricing: $240,000 CAD ARR; 3-year initial term.</w:t>
            </w:r>
          </w:p>
        </w:tc>
      </w:tr>
    </w:tbl>
    <w:p>
      <w:pPr>
        <w:spacing w:after="0" w:before="0"/>
      </w:pPr>
      <w:r>
        <w:rPr>
          <w:rFonts w:ascii="Garamond" w:cs="Garamond" w:eastAsia="Garamond" w:hAnsi="Garamond"/>
          <w:sz w:val="20"/>
          <w:szCs w:val="20"/>
        </w:rPr>
        <w:t xml:space="preserve"/>
      </w:r>
    </w:p>
    <w:p>
      <w:pPr>
        <w:spacing w:after="60" w:before="140"/>
      </w:pPr>
      <w:r>
        <w:rPr>
          <w:rFonts w:ascii="Garamond" w:cs="Garamond" w:eastAsia="Garamond" w:hAnsi="Garamond"/>
          <w:b/>
          <w:bCs/>
          <w:sz w:val="20"/>
          <w:szCs w:val="20"/>
        </w:rPr>
        <w:t xml:space="preserve">The Parties</w:t>
      </w:r>
    </w:p>
    <w:p>
      <w:pPr>
        <w:spacing w:after="80" w:before="80" w:line="280"/>
      </w:pPr>
      <w:r>
        <w:rPr>
          <w:rFonts w:ascii="Garamond" w:cs="Garamond" w:eastAsia="Garamond" w:hAnsi="Garamond"/>
          <w:b/>
          <w:bCs/>
          <w:sz w:val="20"/>
          <w:szCs w:val="20"/>
        </w:rPr>
        <w:t xml:space="preserve">Nimbus Health AI Inc.</w:t>
      </w:r>
      <w:r>
        <w:rPr>
          <w:rFonts w:ascii="Garamond" w:cs="Garamond" w:eastAsia="Garamond" w:hAnsi="Garamond"/>
          <w:sz w:val="20"/>
          <w:szCs w:val="20"/>
        </w:rPr>
        <w:t xml:space="preserve"> is a 22-month-old Toronto startup founded by two University of Toronto machine learning researchers. The platform (branded "NimbusAlert") is trained on de-identified clinical data from three Ontario teaching hospitals and has demonstrated 87% sensitivity for sepsis prediction at 6-hour onset. Nimbus has raised $3.2M CAD in seed funding. The company has 11 employees. It has no prior enterprise health-system clients and no Health Canada medical device licence (it is currently operating under a Health Canada software-as-a-medical-device interim policy).</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b/>
          <w:bCs/>
          <w:sz w:val="20"/>
          <w:szCs w:val="20"/>
        </w:rPr>
        <w:t xml:space="preserve">Ontario Health Sciences Network (OHSN)</w:t>
      </w:r>
      <w:r>
        <w:rPr>
          <w:rFonts w:ascii="Garamond" w:cs="Garamond" w:eastAsia="Garamond" w:hAnsi="Garamond"/>
          <w:sz w:val="20"/>
          <w:szCs w:val="20"/>
        </w:rPr>
        <w:t xml:space="preserve"> is a consortium of 14 Ontario acute-care hospitals including two Level 1 trauma centres and one paediatric hospital. OHSN operates under a shared services model and procures technology on behalf of member hospitals. It is subject to oversight by the Ontario Ministry of Health, the Information and Privacy Commissioner of Ontario (under PHIPA), Health Canada (under the Medical Devices Regulations), and its HIROC insurance program. OHSN's legal team is experienced in health technology procurement and routinely imposes vendor risk allocations that reflect the patient safety stakes of clinical AI deployment.</w:t>
      </w:r>
    </w:p>
    <w:p>
      <w:pPr>
        <w:spacing w:after="0" w:before="0"/>
      </w:pPr>
      <w:r>
        <w:rPr>
          <w:rFonts w:ascii="Garamond" w:cs="Garamond" w:eastAsia="Garamond" w:hAnsi="Garamond"/>
          <w:sz w:val="20"/>
          <w:szCs w:val="20"/>
        </w:rPr>
        <w:t xml:space="preserve"/>
      </w:r>
    </w:p>
    <w:p>
      <w:pPr>
        <w:spacing w:after="60" w:before="140"/>
      </w:pPr>
      <w:r>
        <w:rPr>
          <w:rFonts w:ascii="Garamond" w:cs="Garamond" w:eastAsia="Garamond" w:hAnsi="Garamond"/>
          <w:b/>
          <w:bCs/>
          <w:sz w:val="20"/>
          <w:szCs w:val="20"/>
        </w:rPr>
        <w:t xml:space="preserve">What Makes This Hard for Nimbus</w:t>
      </w:r>
    </w:p>
    <w:p>
      <w:pPr>
        <w:spacing w:after="80" w:before="80" w:line="280"/>
      </w:pPr>
      <w:r>
        <w:rPr>
          <w:rFonts w:ascii="Garamond" w:cs="Garamond" w:eastAsia="Garamond" w:hAnsi="Garamond"/>
          <w:sz w:val="20"/>
          <w:szCs w:val="20"/>
        </w:rPr>
        <w:t xml:space="preserve">Every significant ask from OHSN is individually defensible — OHSN operates in a highly regulated environment where a software failure can contribute to patient harm. But the cumulative effect of OHSN's proposed terms would expose a seed-stage startup to: (a) near-unlimited clinical liability; (b) Health Canada regulatory obligations it has not yet satisfied; (c) a physician override documentation burden it has no infrastructure to support; and (d) training data restrictions that could prevent the company from improving its core product.</w:t>
      </w:r>
    </w:p>
    <w:p>
      <w:pPr>
        <w:spacing w:after="0" w:before="0"/>
      </w:pPr>
      <w:r>
        <w:rPr>
          <w:rFonts w:ascii="Garamond" w:cs="Garamond" w:eastAsia="Garamond" w:hAnsi="Garamond"/>
          <w:sz w:val="20"/>
          <w:szCs w:val="20"/>
        </w:rPr>
        <w:t xml:space="preserve"/>
      </w:r>
    </w:p>
    <w:p>
      <w:pPr>
        <w:spacing w:after="60" w:before="140"/>
      </w:pPr>
      <w:r>
        <w:rPr>
          <w:rFonts w:ascii="Garamond" w:cs="Garamond" w:eastAsia="Garamond" w:hAnsi="Garamond"/>
          <w:b/>
          <w:bCs/>
          <w:sz w:val="20"/>
          <w:szCs w:val="20"/>
        </w:rPr>
        <w:t xml:space="preserve">Key Tensions</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b/>
          <w:bCs/>
          <w:sz w:val="20"/>
          <w:szCs w:val="20"/>
        </w:rPr>
        <w:t xml:space="preserve">NDA: </w:t>
      </w:r>
      <w:r>
        <w:rPr>
          <w:rFonts w:ascii="Garamond" w:cs="Garamond" w:eastAsia="Garamond" w:hAnsi="Garamond"/>
          <w:sz w:val="20"/>
          <w:szCs w:val="20"/>
        </w:rPr>
        <w:t xml:space="preserve">Mutuality — Nimbus needs to protect its model architecture; OHSN wants one-way.</w:t>
      </w:r>
    </w:p>
    <w:p>
      <w:pPr>
        <w:spacing w:after="80" w:before="80" w:line="280"/>
      </w:pPr>
      <w:r>
        <w:rPr>
          <w:rFonts w:ascii="Garamond" w:cs="Garamond" w:eastAsia="Garamond" w:hAnsi="Garamond"/>
          <w:b/>
          <w:bCs/>
          <w:sz w:val="20"/>
          <w:szCs w:val="20"/>
        </w:rPr>
        <w:t xml:space="preserve">NDA: </w:t>
      </w:r>
      <w:r>
        <w:rPr>
          <w:rFonts w:ascii="Garamond" w:cs="Garamond" w:eastAsia="Garamond" w:hAnsi="Garamond"/>
          <w:sz w:val="20"/>
          <w:szCs w:val="20"/>
        </w:rPr>
        <w:t xml:space="preserve">PHI carve-out — Nimbus may encounter PHI during implementation; scope of disclosure obligations is contested.</w:t>
      </w:r>
    </w:p>
    <w:p>
      <w:pPr>
        <w:spacing w:after="80" w:before="80" w:line="280"/>
      </w:pPr>
      <w:r>
        <w:rPr>
          <w:rFonts w:ascii="Garamond" w:cs="Garamond" w:eastAsia="Garamond" w:hAnsi="Garamond"/>
          <w:b/>
          <w:bCs/>
          <w:sz w:val="20"/>
          <w:szCs w:val="20"/>
        </w:rPr>
        <w:t xml:space="preserve">MSA: </w:t>
      </w:r>
      <w:r>
        <w:rPr>
          <w:rFonts w:ascii="Garamond" w:cs="Garamond" w:eastAsia="Garamond" w:hAnsi="Garamond"/>
          <w:sz w:val="20"/>
          <w:szCs w:val="20"/>
        </w:rPr>
        <w:t xml:space="preserve">Uptime SLA — 99.99% vs 99.9% (60 minutes/year vs 8.7 hours/year downtime).</w:t>
      </w:r>
    </w:p>
    <w:p>
      <w:pPr>
        <w:spacing w:after="80" w:before="80" w:line="280"/>
      </w:pPr>
      <w:r>
        <w:rPr>
          <w:rFonts w:ascii="Garamond" w:cs="Garamond" w:eastAsia="Garamond" w:hAnsi="Garamond"/>
          <w:b/>
          <w:bCs/>
          <w:sz w:val="20"/>
          <w:szCs w:val="20"/>
        </w:rPr>
        <w:t xml:space="preserve">MSA: </w:t>
      </w:r>
      <w:r>
        <w:rPr>
          <w:rFonts w:ascii="Garamond" w:cs="Garamond" w:eastAsia="Garamond" w:hAnsi="Garamond"/>
          <w:sz w:val="20"/>
          <w:szCs w:val="20"/>
        </w:rPr>
        <w:t xml:space="preserve">Clinical liability cap — OHSN seeks uncapped liability for adverse patient outcomes; Nimbus cannot survive this.</w:t>
      </w:r>
    </w:p>
    <w:p>
      <w:pPr>
        <w:spacing w:after="80" w:before="80" w:line="280"/>
      </w:pPr>
      <w:r>
        <w:rPr>
          <w:rFonts w:ascii="Garamond" w:cs="Garamond" w:eastAsia="Garamond" w:hAnsi="Garamond"/>
          <w:b/>
          <w:bCs/>
          <w:sz w:val="20"/>
          <w:szCs w:val="20"/>
        </w:rPr>
        <w:t xml:space="preserve">MSA: </w:t>
      </w:r>
      <w:r>
        <w:rPr>
          <w:rFonts w:ascii="Garamond" w:cs="Garamond" w:eastAsia="Garamond" w:hAnsi="Garamond"/>
          <w:sz w:val="20"/>
          <w:szCs w:val="20"/>
        </w:rPr>
        <w:t xml:space="preserve">Physician override — OHSN requires documented evidence that clinicians reviewed every AI alert.</w:t>
      </w:r>
    </w:p>
    <w:p>
      <w:pPr>
        <w:spacing w:after="80" w:before="80" w:line="280"/>
      </w:pPr>
      <w:r>
        <w:rPr>
          <w:rFonts w:ascii="Garamond" w:cs="Garamond" w:eastAsia="Garamond" w:hAnsi="Garamond"/>
          <w:b/>
          <w:bCs/>
          <w:sz w:val="20"/>
          <w:szCs w:val="20"/>
        </w:rPr>
        <w:t xml:space="preserve">MSA: </w:t>
      </w:r>
      <w:r>
        <w:rPr>
          <w:rFonts w:ascii="Garamond" w:cs="Garamond" w:eastAsia="Garamond" w:hAnsi="Garamond"/>
          <w:sz w:val="20"/>
          <w:szCs w:val="20"/>
        </w:rPr>
        <w:t xml:space="preserve">Training data — OHSN wants to own OHSN-generated clinical data and restrict Nimbus's model retraining rights.</w:t>
      </w:r>
    </w:p>
    <w:p>
      <w:pPr>
        <w:spacing w:after="80" w:before="80" w:line="280"/>
      </w:pPr>
      <w:r>
        <w:rPr>
          <w:rFonts w:ascii="Garamond" w:cs="Garamond" w:eastAsia="Garamond" w:hAnsi="Garamond"/>
          <w:b/>
          <w:bCs/>
          <w:sz w:val="20"/>
          <w:szCs w:val="20"/>
        </w:rPr>
        <w:t xml:space="preserve">MSA: </w:t>
      </w:r>
      <w:r>
        <w:rPr>
          <w:rFonts w:ascii="Garamond" w:cs="Garamond" w:eastAsia="Garamond" w:hAnsi="Garamond"/>
          <w:sz w:val="20"/>
          <w:szCs w:val="20"/>
        </w:rPr>
        <w:t xml:space="preserve">Health Canada licence — OHSN wants a warranty that Nimbus holds a Class II medical device licence; Nimbus does not.</w:t>
      </w:r>
    </w:p>
    <w:p>
      <w:pPr>
        <w:spacing w:after="80" w:before="80" w:line="280"/>
      </w:pPr>
      <w:r>
        <w:rPr>
          <w:rFonts w:ascii="Garamond" w:cs="Garamond" w:eastAsia="Garamond" w:hAnsi="Garamond"/>
          <w:b/>
          <w:bCs/>
          <w:sz w:val="20"/>
          <w:szCs w:val="20"/>
        </w:rPr>
        <w:t xml:space="preserve">MSA: </w:t>
      </w:r>
      <w:r>
        <w:rPr>
          <w:rFonts w:ascii="Garamond" w:cs="Garamond" w:eastAsia="Garamond" w:hAnsi="Garamond"/>
          <w:sz w:val="20"/>
          <w:szCs w:val="20"/>
        </w:rPr>
        <w:t xml:space="preserve">Explainability — OHSN requires a human-readable explanation for every AI prediction; Nimbus's model does not currently generate these.</w:t>
      </w:r>
    </w:p>
    <w:p>
      <w:pPr>
        <w:spacing w:after="80" w:before="80" w:line="280"/>
      </w:pPr>
      <w:r>
        <w:rPr>
          <w:rFonts w:ascii="Garamond" w:cs="Garamond" w:eastAsia="Garamond" w:hAnsi="Garamond"/>
          <w:b/>
          <w:bCs/>
          <w:sz w:val="20"/>
          <w:szCs w:val="20"/>
        </w:rPr>
        <w:t xml:space="preserve">MSA: </w:t>
      </w:r>
      <w:r>
        <w:rPr>
          <w:rFonts w:ascii="Garamond" w:cs="Garamond" w:eastAsia="Garamond" w:hAnsi="Garamond"/>
          <w:sz w:val="20"/>
          <w:szCs w:val="20"/>
        </w:rPr>
        <w:t xml:space="preserve">Insurance — OHSN requires clinical malpractice / professional liability coverage; standard tech E&amp;O does not cover this.</w:t>
      </w:r>
    </w:p>
    <w:p>
      <w:pPr>
        <w:spacing w:after="0" w:before="0"/>
      </w:pPr>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0"/>
        <w:jc w:val="center"/>
      </w:pPr>
      <w:r>
        <w:rPr>
          <w:rFonts w:ascii="Garamond" w:cs="Garamond" w:eastAsia="Garamond" w:hAnsi="Garamond"/>
          <w:b/>
          <w:bCs/>
          <w:sz w:val="28"/>
          <w:szCs w:val="28"/>
        </w:rPr>
        <w:t xml:space="preserve">NIMBUS HEALTH AI INC. &amp; ONTARIO HEALTH SCIENCES NETWORK</w:t>
      </w:r>
    </w:p>
    <w:p>
      <w:pPr>
        <w:spacing w:after="240" w:before="0"/>
        <w:jc w:val="center"/>
      </w:pPr>
      <w:r>
        <w:rPr>
          <w:rFonts w:ascii="Garamond" w:cs="Garamond" w:eastAsia="Garamond" w:hAnsi="Garamond"/>
          <w:b/>
          <w:bCs/>
          <w:sz w:val="26"/>
          <w:szCs w:val="26"/>
        </w:rPr>
        <w:t xml:space="preserve">MUTUAL NON-DISCLOSURE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B6E" w:sz="6"/>
              <w:left w:val="single" w:color="005B6E" w:sz="6"/>
              <w:bottom w:val="single" w:color="005B6E" w:sz="6"/>
              <w:right w:val="single" w:color="005B6E" w:sz="6"/>
            </w:tcBorders>
            <w:shd w:fill="E6F2F5" w:val="clear"/>
            <w:tcMar>
              <w:top w:type="dxa" w:w="160"/>
              <w:left w:type="dxa" w:w="240"/>
              <w:bottom w:type="dxa" w:w="160"/>
              <w:right w:type="dxa" w:w="240"/>
            </w:tcMar>
          </w:tcPr>
          <w:p>
            <w:pPr>
              <w:spacing w:after="40" w:before="40"/>
            </w:pPr>
            <w:r>
              <w:rPr>
                <w:rFonts w:ascii="Garamond" w:cs="Garamond" w:eastAsia="Garamond" w:hAnsi="Garamond"/>
                <w:i/>
                <w:iCs/>
                <w:color w:val="4A4A4A"/>
                <w:sz w:val="18"/>
                <w:szCs w:val="18"/>
              </w:rPr>
              <w:t xml:space="preserve">Preliminary Note. Unlike the typical one-way NDA favoured by large institutional clients, this Agreement</w:t>
            </w:r>
          </w:p>
          <w:p>
            <w:pPr>
              <w:spacing w:after="40" w:before="40"/>
            </w:pPr>
            <w:r>
              <w:rPr>
                <w:rFonts w:ascii="Garamond" w:cs="Garamond" w:eastAsia="Garamond" w:hAnsi="Garamond"/>
                <w:i/>
                <w:iCs/>
                <w:color w:val="4A4A4A"/>
                <w:sz w:val="18"/>
                <w:szCs w:val="18"/>
              </w:rPr>
              <w:t xml:space="preserve">is mutual — both parties disclose material confidential information. OHSN discloses clinical protocols,</w:t>
            </w:r>
          </w:p>
          <w:p>
            <w:pPr>
              <w:spacing w:after="40" w:before="40"/>
            </w:pPr>
            <w:r>
              <w:rPr>
                <w:rFonts w:ascii="Garamond" w:cs="Garamond" w:eastAsia="Garamond" w:hAnsi="Garamond"/>
                <w:i/>
                <w:iCs/>
                <w:color w:val="4A4A4A"/>
                <w:sz w:val="18"/>
                <w:szCs w:val="18"/>
              </w:rPr>
              <w:t xml:space="preserve">EHR architecture, and PHI-adjacent system data; Nimbus discloses its model architecture, training</w:t>
            </w:r>
          </w:p>
          <w:p>
            <w:pPr>
              <w:spacing w:after="40" w:before="40"/>
            </w:pPr>
            <w:r>
              <w:rPr>
                <w:rFonts w:ascii="Garamond" w:cs="Garamond" w:eastAsia="Garamond" w:hAnsi="Garamond"/>
                <w:i/>
                <w:iCs/>
                <w:color w:val="4A4A4A"/>
                <w:sz w:val="18"/>
                <w:szCs w:val="18"/>
              </w:rPr>
              <w:t xml:space="preserve">methodology, and proprietary algorithms. A one-way structure would leave Nimbus's core IP unprotected</w:t>
            </w:r>
          </w:p>
          <w:p>
            <w:pPr>
              <w:spacing w:after="40" w:before="40"/>
            </w:pPr>
            <w:r>
              <w:rPr>
                <w:rFonts w:ascii="Garamond" w:cs="Garamond" w:eastAsia="Garamond" w:hAnsi="Garamond"/>
                <w:i/>
                <w:iCs/>
                <w:color w:val="4A4A4A"/>
                <w:sz w:val="18"/>
                <w:szCs w:val="18"/>
              </w:rPr>
              <w:t xml:space="preserve">during a deep technical integration. The PHI Carve-Out (Section 2.3) addresses OHSN's concern that</w:t>
            </w:r>
          </w:p>
          <w:p>
            <w:pPr>
              <w:spacing w:after="40" w:before="40"/>
            </w:pPr>
            <w:r>
              <w:rPr>
                <w:rFonts w:ascii="Garamond" w:cs="Garamond" w:eastAsia="Garamond" w:hAnsi="Garamond"/>
                <w:i/>
                <w:iCs/>
                <w:color w:val="4A4A4A"/>
                <w:sz w:val="18"/>
                <w:szCs w:val="18"/>
              </w:rPr>
              <w:t xml:space="preserve">PHI governed by PHIPA should not be treated as ordinary Confidential Information under this Agreement.</w:t>
            </w:r>
          </w:p>
          <w:p>
            <w:pPr>
              <w:spacing w:after="40" w:before="40"/>
            </w:pPr>
            <w:r>
              <w:rPr>
                <w:rFonts w:ascii="Garamond" w:cs="Garamond" w:eastAsia="Garamond" w:hAnsi="Garamond"/>
                <w:i/>
                <w:iCs/>
                <w:color w:val="4A4A4A"/>
                <w:sz w:val="18"/>
                <w:szCs w:val="18"/>
              </w:rPr>
              <w:t xml:space="preserve">This document should not be construed as legal advice.</w:t>
            </w:r>
          </w:p>
        </w:tc>
      </w:tr>
    </w:tbl>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b/>
          <w:bCs/>
          <w:sz w:val="20"/>
          <w:szCs w:val="20"/>
        </w:rPr>
        <w:t xml:space="preserve">This Mutual Non-Disclosure Agreement </w:t>
      </w:r>
      <w:r>
        <w:rPr>
          <w:rFonts w:ascii="Garamond" w:cs="Garamond" w:eastAsia="Garamond" w:hAnsi="Garamond"/>
          <w:sz w:val="20"/>
          <w:szCs w:val="20"/>
        </w:rPr>
        <w:t xml:space="preserve">(the </w:t>
      </w:r>
      <w:r>
        <w:rPr>
          <w:rFonts w:ascii="Garamond" w:cs="Garamond" w:eastAsia="Garamond" w:hAnsi="Garamond"/>
          <w:b/>
          <w:bCs/>
          <w:sz w:val="20"/>
          <w:szCs w:val="20"/>
        </w:rPr>
        <w:t xml:space="preserve">"Agreement"</w:t>
      </w:r>
      <w:r>
        <w:rPr>
          <w:rFonts w:ascii="Garamond" w:cs="Garamond" w:eastAsia="Garamond" w:hAnsi="Garamond"/>
          <w:sz w:val="20"/>
          <w:szCs w:val="20"/>
        </w:rPr>
        <w:t xml:space="preserve">) is entered into as of the date last signed below (the </w:t>
      </w:r>
      <w:r>
        <w:rPr>
          <w:rFonts w:ascii="Garamond" w:cs="Garamond" w:eastAsia="Garamond" w:hAnsi="Garamond"/>
          <w:b/>
          <w:bCs/>
          <w:sz w:val="20"/>
          <w:szCs w:val="20"/>
        </w:rPr>
        <w:t xml:space="preserve">"Effective Date"</w:t>
      </w:r>
      <w:r>
        <w:rPr>
          <w:rFonts w:ascii="Garamond" w:cs="Garamond" w:eastAsia="Garamond" w:hAnsi="Garamond"/>
          <w:sz w:val="20"/>
          <w:szCs w:val="20"/>
        </w:rPr>
        <w:t xml:space="preserve">) between:</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b/>
          <w:bCs/>
          <w:sz w:val="20"/>
          <w:szCs w:val="20"/>
        </w:rPr>
        <w:t xml:space="preserve">Nimbus Health AI Inc.</w:t>
      </w:r>
      <w:r>
        <w:rPr>
          <w:rFonts w:ascii="Garamond" w:cs="Garamond" w:eastAsia="Garamond" w:hAnsi="Garamond"/>
          <w:sz w:val="20"/>
          <w:szCs w:val="20"/>
        </w:rPr>
        <w:t xml:space="preserve">, a corporation incorporated under the laws of Ontario, with its principal place of business at 661 University Avenue, Suite 1200, Toronto, Ontario M5G 1M1 (</w:t>
      </w:r>
      <w:r>
        <w:rPr>
          <w:rFonts w:ascii="Garamond" w:cs="Garamond" w:eastAsia="Garamond" w:hAnsi="Garamond"/>
          <w:b/>
          <w:bCs/>
          <w:sz w:val="20"/>
          <w:szCs w:val="20"/>
        </w:rPr>
        <w:t xml:space="preserve">"Nimbus"</w:t>
      </w:r>
      <w:r>
        <w:rPr>
          <w:rFonts w:ascii="Garamond" w:cs="Garamond" w:eastAsia="Garamond" w:hAnsi="Garamond"/>
          <w:sz w:val="20"/>
          <w:szCs w:val="20"/>
        </w:rPr>
        <w:t xml:space="preserve">); and</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b/>
          <w:bCs/>
          <w:sz w:val="20"/>
          <w:szCs w:val="20"/>
        </w:rPr>
        <w:t xml:space="preserve">Ontario Health Sciences Network</w:t>
      </w:r>
      <w:r>
        <w:rPr>
          <w:rFonts w:ascii="Garamond" w:cs="Garamond" w:eastAsia="Garamond" w:hAnsi="Garamond"/>
          <w:sz w:val="20"/>
          <w:szCs w:val="20"/>
        </w:rPr>
        <w:t xml:space="preserve">, an unincorporated consortium operating under the laws of Ontario, with its principal administrative office at 700 University Avenue, Toronto, Ontario M5G 1Z5 (</w:t>
      </w:r>
      <w:r>
        <w:rPr>
          <w:rFonts w:ascii="Garamond" w:cs="Garamond" w:eastAsia="Garamond" w:hAnsi="Garamond"/>
          <w:b/>
          <w:bCs/>
          <w:sz w:val="20"/>
          <w:szCs w:val="20"/>
        </w:rPr>
        <w:t xml:space="preserve">"OHSN"</w:t>
      </w:r>
      <w:r>
        <w:rPr>
          <w:rFonts w:ascii="Garamond" w:cs="Garamond" w:eastAsia="Garamond" w:hAnsi="Garamond"/>
          <w:sz w:val="20"/>
          <w:szCs w:val="20"/>
        </w:rPr>
        <w:t xml:space="preserve">).</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Each of Nimbus and OHSN is referred to individually as a </w:t>
      </w:r>
      <w:r>
        <w:rPr>
          <w:rFonts w:ascii="Garamond" w:cs="Garamond" w:eastAsia="Garamond" w:hAnsi="Garamond"/>
          <w:b/>
          <w:bCs/>
          <w:sz w:val="20"/>
          <w:szCs w:val="20"/>
        </w:rPr>
        <w:t xml:space="preserve">"Party"</w:t>
      </w:r>
      <w:r>
        <w:rPr>
          <w:rFonts w:ascii="Garamond" w:cs="Garamond" w:eastAsia="Garamond" w:hAnsi="Garamond"/>
          <w:sz w:val="20"/>
          <w:szCs w:val="20"/>
        </w:rPr>
        <w:t xml:space="preserve"> and collectively as the </w:t>
      </w:r>
      <w:r>
        <w:rPr>
          <w:rFonts w:ascii="Garamond" w:cs="Garamond" w:eastAsia="Garamond" w:hAnsi="Garamond"/>
          <w:b/>
          <w:bCs/>
          <w:sz w:val="20"/>
          <w:szCs w:val="20"/>
        </w:rPr>
        <w:t xml:space="preserve">"Parties."</w:t>
      </w:r>
      <w:r>
        <w:rPr>
          <w:rFonts w:ascii="Garamond" w:cs="Garamond" w:eastAsia="Garamond" w:hAnsi="Garamond"/>
          <w:sz w:val="20"/>
          <w:szCs w:val="20"/>
        </w:rPr>
        <w:t xml:space="preserve"> In context, the Party disclosing Confidential Information is the </w:t>
      </w:r>
      <w:r>
        <w:rPr>
          <w:rFonts w:ascii="Garamond" w:cs="Garamond" w:eastAsia="Garamond" w:hAnsi="Garamond"/>
          <w:b/>
          <w:bCs/>
          <w:sz w:val="20"/>
          <w:szCs w:val="20"/>
        </w:rPr>
        <w:t xml:space="preserve">"Disclosing Party"</w:t>
      </w:r>
      <w:r>
        <w:rPr>
          <w:rFonts w:ascii="Garamond" w:cs="Garamond" w:eastAsia="Garamond" w:hAnsi="Garamond"/>
          <w:sz w:val="20"/>
          <w:szCs w:val="20"/>
        </w:rPr>
        <w:t xml:space="preserve"> and the Party receiving it is the </w:t>
      </w:r>
      <w:r>
        <w:rPr>
          <w:rFonts w:ascii="Garamond" w:cs="Garamond" w:eastAsia="Garamond" w:hAnsi="Garamond"/>
          <w:b/>
          <w:bCs/>
          <w:sz w:val="20"/>
          <w:szCs w:val="20"/>
        </w:rPr>
        <w:t xml:space="preserve">"Receiving Party."</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1.  PURPOSE</w:t>
      </w:r>
    </w:p>
    <w:p>
      <w:pPr>
        <w:spacing w:after="80" w:before="80" w:line="280"/>
      </w:pPr>
      <w:r>
        <w:rPr>
          <w:rFonts w:ascii="Garamond" w:cs="Garamond" w:eastAsia="Garamond" w:hAnsi="Garamond"/>
          <w:sz w:val="20"/>
          <w:szCs w:val="20"/>
        </w:rPr>
        <w:t xml:space="preserve">The Parties wish to explore and conduct a potential business relationship involving Nimbus's AI-powered clinical decision support platform, NimbusAlert, in connection with OHSN member hospitals (the "Purpose"). Each Party may disclose Confidential Information to the other in furtherance of the Purpose.</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2.  CONFIDENTIAL INFORMATION</w:t>
      </w:r>
    </w:p>
    <w:p>
      <w:pPr>
        <w:spacing w:after="60" w:before="140"/>
      </w:pPr>
      <w:r>
        <w:rPr>
          <w:rFonts w:ascii="Garamond" w:cs="Garamond" w:eastAsia="Garamond" w:hAnsi="Garamond"/>
          <w:b/>
          <w:bCs/>
          <w:sz w:val="20"/>
          <w:szCs w:val="20"/>
        </w:rPr>
        <w:t xml:space="preserve">2.1  Definition.</w:t>
      </w:r>
    </w:p>
    <w:p>
      <w:pPr>
        <w:spacing w:after="80" w:before="80" w:line="280"/>
      </w:pPr>
      <w:r>
        <w:rPr>
          <w:rFonts w:ascii="Garamond" w:cs="Garamond" w:eastAsia="Garamond" w:hAnsi="Garamond"/>
          <w:sz w:val="20"/>
          <w:szCs w:val="20"/>
        </w:rPr>
        <w:t xml:space="preserve">"Confidential Information" means any non-public information disclosed by one Party to the other, whether orally, in writing, electronically, or by any other means, that: (a) is designated as "Confidential" or "Proprietary" at the time of disclosure; or (b) a reasonable person in the recipient's position would understand to be confidential given the nature of the information and the circumstances of disclosure. Without limiting the foregoing, Confidential Information includes: </w:t>
      </w:r>
      <w:r>
        <w:rPr>
          <w:rFonts w:ascii="Garamond" w:cs="Garamond" w:eastAsia="Garamond" w:hAnsi="Garamond"/>
          <w:b/>
          <w:bCs/>
          <w:sz w:val="20"/>
          <w:szCs w:val="20"/>
        </w:rPr>
        <w:t xml:space="preserve">(i) for Nimbus:</w:t>
      </w:r>
      <w:r>
        <w:rPr>
          <w:rFonts w:ascii="Garamond" w:cs="Garamond" w:eastAsia="Garamond" w:hAnsi="Garamond"/>
          <w:sz w:val="20"/>
          <w:szCs w:val="20"/>
        </w:rPr>
        <w:t xml:space="preserve"> model architecture, training datasets (to the extent de-identified), algorithm specifications, clinical validation data, source code, pricing, and go-to-market strategy; </w:t>
      </w:r>
      <w:r>
        <w:rPr>
          <w:rFonts w:ascii="Garamond" w:cs="Garamond" w:eastAsia="Garamond" w:hAnsi="Garamond"/>
          <w:b/>
          <w:bCs/>
          <w:sz w:val="20"/>
          <w:szCs w:val="20"/>
        </w:rPr>
        <w:t xml:space="preserve">(ii) for OHSN:</w:t>
      </w:r>
      <w:r>
        <w:rPr>
          <w:rFonts w:ascii="Garamond" w:cs="Garamond" w:eastAsia="Garamond" w:hAnsi="Garamond"/>
          <w:sz w:val="20"/>
          <w:szCs w:val="20"/>
        </w:rPr>
        <w:t xml:space="preserve"> clinical protocols, EHR system architecture, staff workflows, procurement strategies, HIROC actuarial data, and network security configurations.</w:t>
      </w:r>
    </w:p>
    <w:p>
      <w:pPr>
        <w:spacing w:after="60" w:before="140"/>
      </w:pPr>
      <w:r>
        <w:rPr>
          <w:rFonts w:ascii="Garamond" w:cs="Garamond" w:eastAsia="Garamond" w:hAnsi="Garamond"/>
          <w:b/>
          <w:bCs/>
          <w:sz w:val="20"/>
          <w:szCs w:val="20"/>
        </w:rPr>
        <w:t xml:space="preserve">2.2  Exclusions.</w:t>
      </w:r>
    </w:p>
    <w:p>
      <w:pPr>
        <w:spacing w:after="80" w:before="80" w:line="280"/>
      </w:pPr>
      <w:r>
        <w:rPr>
          <w:rFonts w:ascii="Garamond" w:cs="Garamond" w:eastAsia="Garamond" w:hAnsi="Garamond"/>
          <w:sz w:val="20"/>
          <w:szCs w:val="20"/>
        </w:rPr>
        <w:t xml:space="preserve">Confidential Information does not include information that: (a) is or becomes publicly available through no fault of the Receiving Party; (b) was rightfully known to the Receiving Party prior to disclosure; (c) is rightfully received from a third party without restriction; or (d) is independently developed without use of the Disclosing Party's Confidential Information. The Receiving Party bears the burden of demonstrating any exclusion applies.</w:t>
      </w:r>
    </w:p>
    <w:p>
      <w:pPr>
        <w:spacing w:after="60" w:before="140"/>
      </w:pPr>
      <w:r>
        <w:rPr>
          <w:rFonts w:ascii="Garamond" w:cs="Garamond" w:eastAsia="Garamond" w:hAnsi="Garamond"/>
          <w:b/>
          <w:bCs/>
          <w:sz w:val="20"/>
          <w:szCs w:val="20"/>
        </w:rPr>
        <w:t xml:space="preserve">2.3  PHI Carve-Out.</w:t>
      </w:r>
    </w:p>
    <w:p>
      <w:pPr>
        <w:spacing w:after="80" w:before="80" w:line="280"/>
      </w:pPr>
      <w:r>
        <w:rPr>
          <w:rFonts w:ascii="Garamond" w:cs="Garamond" w:eastAsia="Garamond" w:hAnsi="Garamond"/>
          <w:sz w:val="20"/>
          <w:szCs w:val="20"/>
        </w:rPr>
        <w:t xml:space="preserve">Notwithstanding the foregoing, "Personal Health Information" as defined under the Personal Health Information Protection Act, 2004 (Ontario) ("PHIPA") is not "Confidential Information" under this Agreement. PHI encountered by Nimbus during implementation, integration, or support activities is governed exclusively by: (a) PHIPA and applicable regulations; (b) the Data Sharing and Use Agreement to be executed pursuant to Section 9 of the Master Service Agreement; and (c) OHSN's applicable information governance policies. Nothing in this Agreement limits either Party's obligations under PHIPA.</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The PHI Carve-Out prevents inadvertent PHIPA non-compliance from a confidentiality regime not designed for health privacy law. If PHI were classified as Confidential Information under this Agreement, remedies like injunctive relief and broad use restrictions could conflict with OHSN's disclosure obligations to patients and regulators. The carve-out ensures the right legal framework governs each type of information.</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3.  OBLIGATIONS</w:t>
      </w:r>
    </w:p>
    <w:p>
      <w:pPr>
        <w:spacing w:after="60" w:before="140"/>
      </w:pPr>
      <w:r>
        <w:rPr>
          <w:rFonts w:ascii="Garamond" w:cs="Garamond" w:eastAsia="Garamond" w:hAnsi="Garamond"/>
          <w:b/>
          <w:bCs/>
          <w:sz w:val="20"/>
          <w:szCs w:val="20"/>
        </w:rPr>
        <w:t xml:space="preserve">3.1  Non-Disclosure.</w:t>
      </w:r>
    </w:p>
    <w:p>
      <w:pPr>
        <w:spacing w:after="80" w:before="80" w:line="280"/>
      </w:pPr>
      <w:r>
        <w:rPr>
          <w:rFonts w:ascii="Garamond" w:cs="Garamond" w:eastAsia="Garamond" w:hAnsi="Garamond"/>
          <w:sz w:val="20"/>
          <w:szCs w:val="20"/>
        </w:rPr>
        <w:t xml:space="preserve">Each Receiving Party agrees to: (a) hold the Disclosing Party's Confidential Information in strict confidence using no less than industry-leading care; (b) not disclose Confidential Information to any third party without the prior written consent of the Disclosing Party; and (c) use the Confidential Information solely for the Purpose.</w:t>
      </w:r>
    </w:p>
    <w:p>
      <w:pPr>
        <w:spacing w:after="60" w:before="140"/>
      </w:pPr>
      <w:r>
        <w:rPr>
          <w:rFonts w:ascii="Garamond" w:cs="Garamond" w:eastAsia="Garamond" w:hAnsi="Garamond"/>
          <w:b/>
          <w:bCs/>
          <w:sz w:val="20"/>
          <w:szCs w:val="20"/>
        </w:rPr>
        <w:t xml:space="preserve">3.2  Permitted Disclosures.</w:t>
      </w:r>
    </w:p>
    <w:p>
      <w:pPr>
        <w:spacing w:after="80" w:before="80" w:line="280"/>
      </w:pPr>
      <w:r>
        <w:rPr>
          <w:rFonts w:ascii="Garamond" w:cs="Garamond" w:eastAsia="Garamond" w:hAnsi="Garamond"/>
          <w:sz w:val="20"/>
          <w:szCs w:val="20"/>
        </w:rPr>
        <w:t xml:space="preserve">A Receiving Party may disclose Confidential Information to its employees, officers, directors, and, in the case of Nimbus, contractors with a legitimate need to know, provided such individuals are bound by written confidentiality obligations at least as protective as those in this Agreement. OHSN may additionally disclose Confidential Information to member hospital staff and its legal and audit advisors on the same basis. Each Party is responsible for breaches by its permitted recipients.</w:t>
      </w:r>
    </w:p>
    <w:p>
      <w:pPr>
        <w:spacing w:after="60" w:before="140"/>
      </w:pPr>
      <w:r>
        <w:rPr>
          <w:rFonts w:ascii="Garamond" w:cs="Garamond" w:eastAsia="Garamond" w:hAnsi="Garamond"/>
          <w:b/>
          <w:bCs/>
          <w:sz w:val="20"/>
          <w:szCs w:val="20"/>
        </w:rPr>
        <w:t xml:space="preserve">3.3  Required Disclosures.</w:t>
      </w:r>
    </w:p>
    <w:p>
      <w:pPr>
        <w:spacing w:after="80" w:before="80" w:line="280"/>
      </w:pPr>
      <w:r>
        <w:rPr>
          <w:rFonts w:ascii="Garamond" w:cs="Garamond" w:eastAsia="Garamond" w:hAnsi="Garamond"/>
          <w:sz w:val="20"/>
          <w:szCs w:val="20"/>
        </w:rPr>
        <w:t xml:space="preserve">If a Receiving Party is required by law, regulation, PHIPA, court order, or order of a regulatory body (including the Information and Privacy Commissioner of Ontario) to disclose Confidential Information, it will: (a) notify the Disclosing Party promptly to the extent permitted by law; (b) reasonably cooperate with the Disclosing Party's efforts to limit disclosure; and (c) disclose only the minimum necessary.</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OHSN may face PHIPA-mandated disclosure obligations that override confidentiality. The formulation above preserves OHSN's compliance flexibility while requiring reasonable notice to Nimbus. Nimbus's model architecture is not PHI and remains subject to full confidentiality protection even in a regulatory investigation.</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4.  TERM</w:t>
      </w:r>
    </w:p>
    <w:p>
      <w:pPr>
        <w:spacing w:after="60" w:before="140"/>
      </w:pPr>
      <w:r>
        <w:rPr>
          <w:rFonts w:ascii="Garamond" w:cs="Garamond" w:eastAsia="Garamond" w:hAnsi="Garamond"/>
          <w:b/>
          <w:bCs/>
          <w:sz w:val="20"/>
          <w:szCs w:val="20"/>
        </w:rPr>
        <w:t xml:space="preserve">4.1  Agreement Term.</w:t>
      </w:r>
    </w:p>
    <w:p>
      <w:pPr>
        <w:spacing w:after="80" w:before="80" w:line="280"/>
      </w:pPr>
      <w:r>
        <w:rPr>
          <w:rFonts w:ascii="Garamond" w:cs="Garamond" w:eastAsia="Garamond" w:hAnsi="Garamond"/>
          <w:sz w:val="20"/>
          <w:szCs w:val="20"/>
        </w:rPr>
        <w:t xml:space="preserve">This Agreement commences on the Effective Date and continues for three (3) years, unless earlier terminated by either Party upon sixty (60) days' written notice.</w:t>
      </w:r>
    </w:p>
    <w:p>
      <w:pPr>
        <w:spacing w:after="60" w:before="140"/>
      </w:pPr>
      <w:r>
        <w:rPr>
          <w:rFonts w:ascii="Garamond" w:cs="Garamond" w:eastAsia="Garamond" w:hAnsi="Garamond"/>
          <w:b/>
          <w:bCs/>
          <w:sz w:val="20"/>
          <w:szCs w:val="20"/>
        </w:rPr>
        <w:t xml:space="preserve">4.2  Survival.</w:t>
      </w:r>
    </w:p>
    <w:p>
      <w:pPr>
        <w:spacing w:after="80" w:before="80" w:line="280"/>
      </w:pPr>
      <w:r>
        <w:rPr>
          <w:rFonts w:ascii="Garamond" w:cs="Garamond" w:eastAsia="Garamond" w:hAnsi="Garamond"/>
          <w:sz w:val="20"/>
          <w:szCs w:val="20"/>
        </w:rPr>
        <w:t xml:space="preserve">The confidentiality obligations in Section 3 survive termination for four (4) years, except that obligations relating to Nimbus's model architecture and training methodology survive indefinitely.</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Indefinite survival for model architecture reflects the fact that AI model IP does not become less sensitive with the passage of time. A 4-year survival period would leave Nimbus's core IP exposed once the agreement lapses. OHSN resisted this; the compromise is indefinite survival for model IP only, with time-limited survival for operational information.</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5.  RETURN OR DESTRUCTION</w:t>
      </w:r>
    </w:p>
    <w:p>
      <w:pPr>
        <w:spacing w:after="80" w:before="80" w:line="280"/>
      </w:pPr>
      <w:r>
        <w:rPr>
          <w:rFonts w:ascii="Garamond" w:cs="Garamond" w:eastAsia="Garamond" w:hAnsi="Garamond"/>
          <w:sz w:val="20"/>
          <w:szCs w:val="20"/>
        </w:rPr>
        <w:t xml:space="preserve">Upon termination or written request, each Receiving Party will promptly return or destroy all Confidential Information and certify destruction within ten (10) business days. Either Party may retain one archival copy solely for legal compliance purposes, provided such copy is segregated and access is restricted to legal and compliance personnel.</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6.  REMEDIES</w:t>
      </w:r>
    </w:p>
    <w:p>
      <w:pPr>
        <w:spacing w:after="80" w:before="80" w:line="280"/>
      </w:pPr>
      <w:r>
        <w:rPr>
          <w:rFonts w:ascii="Garamond" w:cs="Garamond" w:eastAsia="Garamond" w:hAnsi="Garamond"/>
          <w:sz w:val="20"/>
          <w:szCs w:val="20"/>
        </w:rPr>
        <w:t xml:space="preserve">The Parties acknowledge that breach may cause irreparable harm for which monetary damages are inadequate. Either Party may seek equitable relief, including injunctive relief. The Party seeking relief must post a bond in an amount to be determined by a court of competent jurisdiction, except that OHSN is not required to post bond where the breach involves disclosure of PHI or patient safety information.</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Bond requirement is preserved for most injunctions but carved out for patient-safety-related disclosures. This balances Nimbus's right not to have its business enjoined without security against OHSN's legitimate patient safety obligations where speed is critical.</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7.  GENERAL</w:t>
      </w:r>
    </w:p>
    <w:p>
      <w:pPr>
        <w:spacing w:after="60" w:before="140"/>
      </w:pPr>
      <w:r>
        <w:rPr>
          <w:rFonts w:ascii="Garamond" w:cs="Garamond" w:eastAsia="Garamond" w:hAnsi="Garamond"/>
          <w:b/>
          <w:bCs/>
          <w:sz w:val="20"/>
          <w:szCs w:val="20"/>
        </w:rPr>
        <w:t xml:space="preserve">7.1  Governing Law.</w:t>
      </w:r>
    </w:p>
    <w:p>
      <w:pPr>
        <w:spacing w:after="80" w:before="80" w:line="280"/>
      </w:pPr>
      <w:r>
        <w:rPr>
          <w:rFonts w:ascii="Garamond" w:cs="Garamond" w:eastAsia="Garamond" w:hAnsi="Garamond"/>
          <w:sz w:val="20"/>
          <w:szCs w:val="20"/>
        </w:rPr>
        <w:t xml:space="preserve">Laws of the Province of Ontario. Exclusive jurisdiction in the courts of Ontario.</w:t>
      </w:r>
    </w:p>
    <w:p>
      <w:pPr>
        <w:spacing w:after="60" w:before="140"/>
      </w:pPr>
      <w:r>
        <w:rPr>
          <w:rFonts w:ascii="Garamond" w:cs="Garamond" w:eastAsia="Garamond" w:hAnsi="Garamond"/>
          <w:b/>
          <w:bCs/>
          <w:sz w:val="20"/>
          <w:szCs w:val="20"/>
        </w:rPr>
        <w:t xml:space="preserve">7.2  Entire Agreement.</w:t>
      </w:r>
    </w:p>
    <w:p>
      <w:pPr>
        <w:spacing w:after="80" w:before="80" w:line="280"/>
      </w:pPr>
      <w:r>
        <w:rPr>
          <w:rFonts w:ascii="Garamond" w:cs="Garamond" w:eastAsia="Garamond" w:hAnsi="Garamond"/>
          <w:sz w:val="20"/>
          <w:szCs w:val="20"/>
        </w:rPr>
        <w:t xml:space="preserve">This Agreement, together with the PHI-specific instruments referenced in Section 2.3, constitutes the entire agreement on confidentiality and supersedes all prior understandings.</w:t>
      </w:r>
    </w:p>
    <w:p>
      <w:pPr>
        <w:spacing w:after="60" w:before="140"/>
      </w:pPr>
      <w:r>
        <w:rPr>
          <w:rFonts w:ascii="Garamond" w:cs="Garamond" w:eastAsia="Garamond" w:hAnsi="Garamond"/>
          <w:b/>
          <w:bCs/>
          <w:sz w:val="20"/>
          <w:szCs w:val="20"/>
        </w:rPr>
        <w:t xml:space="preserve">7.3  Amendments.</w:t>
      </w:r>
    </w:p>
    <w:p>
      <w:pPr>
        <w:spacing w:after="80" w:before="80" w:line="280"/>
      </w:pPr>
      <w:r>
        <w:rPr>
          <w:rFonts w:ascii="Garamond" w:cs="Garamond" w:eastAsia="Garamond" w:hAnsi="Garamond"/>
          <w:sz w:val="20"/>
          <w:szCs w:val="20"/>
        </w:rPr>
        <w:t xml:space="preserve">Written instrument signed by authorized representatives of both Parties.</w:t>
      </w:r>
    </w:p>
    <w:p>
      <w:pPr>
        <w:spacing w:after="60" w:before="140"/>
      </w:pPr>
      <w:r>
        <w:rPr>
          <w:rFonts w:ascii="Garamond" w:cs="Garamond" w:eastAsia="Garamond" w:hAnsi="Garamond"/>
          <w:b/>
          <w:bCs/>
          <w:sz w:val="20"/>
          <w:szCs w:val="20"/>
        </w:rPr>
        <w:t xml:space="preserve">7.4  Severability.</w:t>
      </w:r>
    </w:p>
    <w:p>
      <w:pPr>
        <w:spacing w:after="80" w:before="80" w:line="280"/>
      </w:pPr>
      <w:r>
        <w:rPr>
          <w:rFonts w:ascii="Garamond" w:cs="Garamond" w:eastAsia="Garamond" w:hAnsi="Garamond"/>
          <w:sz w:val="20"/>
          <w:szCs w:val="20"/>
        </w:rPr>
        <w:t xml:space="preserve">Invalidity of one provision does not affect the remainder.</w:t>
      </w:r>
    </w:p>
    <w:p>
      <w:pPr>
        <w:spacing w:after="60" w:before="140"/>
      </w:pPr>
      <w:r>
        <w:rPr>
          <w:rFonts w:ascii="Garamond" w:cs="Garamond" w:eastAsia="Garamond" w:hAnsi="Garamond"/>
          <w:b/>
          <w:bCs/>
          <w:sz w:val="20"/>
          <w:szCs w:val="20"/>
        </w:rPr>
        <w:t xml:space="preserve">7.5  Counterparts.</w:t>
      </w:r>
    </w:p>
    <w:p>
      <w:pPr>
        <w:spacing w:after="80" w:before="80" w:line="280"/>
      </w:pPr>
      <w:r>
        <w:rPr>
          <w:rFonts w:ascii="Garamond" w:cs="Garamond" w:eastAsia="Garamond" w:hAnsi="Garamond"/>
          <w:sz w:val="20"/>
          <w:szCs w:val="20"/>
        </w:rPr>
        <w:t xml:space="preserve">May be executed in counterparts, including by electronic signature.</w:t>
      </w:r>
    </w:p>
    <w:p>
      <w:pPr>
        <w:pBdr>
          <w:bottom w:val="single" w:color="AECFD4" w:sz="2" w:space="4"/>
        </w:pBdr>
        <w:spacing w:after="120" w:before="120"/>
      </w:pPr>
      <w:r>
        <w:rPr>
          <w:rFonts w:ascii="Garamond" w:cs="Garamond" w:eastAsia="Garamond" w:hAnsi="Garamond"/>
          <w:sz w:val="20"/>
          <w:szCs w:val="20"/>
        </w:rPr>
        <w:t xml:space="preserve"/>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SIGNATURES</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IN WITNESS WHEREOF, the Parties have executed this Mutual Non-Disclosure Agreement as of the Effective Date.</w:t>
      </w:r>
    </w:p>
    <w:p>
      <w:pPr>
        <w:spacing w:after="0" w:before="0"/>
      </w:pPr>
      <w:r>
        <w:rPr>
          <w:rFonts w:ascii="Garamond" w:cs="Garamond" w:eastAsia="Garamond" w:hAnsi="Garamond"/>
          <w:sz w:val="20"/>
          <w:szCs w:val="20"/>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b/>
                <w:bCs/>
                <w:sz w:val="20"/>
                <w:szCs w:val="20"/>
              </w:rPr>
              <w:t xml:space="preserve">NIMBUS HEALTH AI INC.</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b/>
                <w:bCs/>
                <w:sz w:val="20"/>
                <w:szCs w:val="20"/>
              </w:rPr>
              <w:t xml:space="preserve">ONTARIO HEALTH SCIENCES NETWORK</w:t>
            </w:r>
          </w:p>
        </w:tc>
      </w:tr>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Signature:</w:t>
            </w:r>
          </w:p>
          <w:p>
            <w:pPr>
              <w:spacing w:after="40" w:before="120"/>
            </w:pPr>
            <w:r>
              <w:rPr>
                <w:rFonts w:ascii="Garamond" w:cs="Garamond" w:eastAsia="Garamond" w:hAnsi="Garamond"/>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Signature:</w:t>
            </w:r>
          </w:p>
          <w:p>
            <w:pPr>
              <w:spacing w:after="40" w:before="120"/>
            </w:pPr>
            <w:r>
              <w:rPr>
                <w:rFonts w:ascii="Garamond" w:cs="Garamond" w:eastAsia="Garamond" w:hAnsi="Garamond"/>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Name:</w:t>
            </w:r>
          </w:p>
          <w:p>
            <w:pPr>
              <w:spacing w:after="40" w:before="120"/>
            </w:pPr>
            <w:r>
              <w:rPr>
                <w:rFonts w:ascii="Garamond" w:cs="Garamond" w:eastAsia="Garamond" w:hAnsi="Garamond"/>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Name:</w:t>
            </w:r>
          </w:p>
          <w:p>
            <w:pPr>
              <w:spacing w:after="40" w:before="120"/>
            </w:pPr>
            <w:r>
              <w:rPr>
                <w:rFonts w:ascii="Garamond" w:cs="Garamond" w:eastAsia="Garamond" w:hAnsi="Garamond"/>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Title:</w:t>
            </w:r>
          </w:p>
          <w:p>
            <w:pPr>
              <w:spacing w:after="40" w:before="120"/>
            </w:pPr>
            <w:r>
              <w:rPr>
                <w:rFonts w:ascii="Garamond" w:cs="Garamond" w:eastAsia="Garamond" w:hAnsi="Garamond"/>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Title:</w:t>
            </w:r>
          </w:p>
          <w:p>
            <w:pPr>
              <w:spacing w:after="40" w:before="120"/>
            </w:pPr>
            <w:r>
              <w:rPr>
                <w:rFonts w:ascii="Garamond" w:cs="Garamond" w:eastAsia="Garamond" w:hAnsi="Garamond"/>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Date:</w:t>
            </w:r>
          </w:p>
          <w:p>
            <w:pPr>
              <w:spacing w:after="40" w:before="120"/>
            </w:pPr>
            <w:r>
              <w:rPr>
                <w:rFonts w:ascii="Garamond" w:cs="Garamond" w:eastAsia="Garamond" w:hAnsi="Garamond"/>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Date:</w:t>
            </w:r>
          </w:p>
          <w:p>
            <w:pPr>
              <w:spacing w:after="40" w:before="120"/>
            </w:pPr>
            <w:r>
              <w:rPr>
                <w:rFonts w:ascii="Garamond" w:cs="Garamond" w:eastAsia="Garamond" w:hAnsi="Garamond"/>
                <w:sz w:val="20"/>
                <w:szCs w:val="20"/>
              </w:rPr>
              <w:t xml:space="preserve">________________________</w:t>
            </w:r>
          </w:p>
        </w:tc>
      </w:tr>
    </w:tbl>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60" w:before="0"/>
        <w:jc w:val="center"/>
      </w:pPr>
      <w:r>
        <w:rPr>
          <w:rFonts w:ascii="Garamond" w:cs="Garamond" w:eastAsia="Garamond" w:hAnsi="Garamond"/>
          <w:b/>
          <w:bCs/>
          <w:sz w:val="28"/>
          <w:szCs w:val="28"/>
        </w:rPr>
        <w:t xml:space="preserve">NIMBUS HEALTH AI INC. &amp; ONTARIO HEALTH SCIENCES NETWORK</w:t>
      </w:r>
    </w:p>
    <w:p>
      <w:pPr>
        <w:spacing w:after="240" w:before="0"/>
        <w:jc w:val="center"/>
      </w:pPr>
      <w:r>
        <w:rPr>
          <w:rFonts w:ascii="Garamond" w:cs="Garamond" w:eastAsia="Garamond" w:hAnsi="Garamond"/>
          <w:b/>
          <w:bCs/>
          <w:sz w:val="26"/>
          <w:szCs w:val="26"/>
        </w:rPr>
        <w:t xml:space="preserve">MASTER SERVICE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B6E" w:sz="6"/>
              <w:left w:val="single" w:color="005B6E" w:sz="6"/>
              <w:bottom w:val="single" w:color="005B6E" w:sz="6"/>
              <w:right w:val="single" w:color="005B6E" w:sz="6"/>
            </w:tcBorders>
            <w:shd w:fill="E6F2F5" w:val="clear"/>
            <w:tcMar>
              <w:top w:type="dxa" w:w="160"/>
              <w:left w:type="dxa" w:w="240"/>
              <w:bottom w:type="dxa" w:w="160"/>
              <w:right w:type="dxa" w:w="240"/>
            </w:tcMar>
          </w:tcPr>
          <w:p>
            <w:pPr>
              <w:spacing w:after="40" w:before="40"/>
            </w:pPr>
            <w:r>
              <w:rPr>
                <w:rFonts w:ascii="Garamond" w:cs="Garamond" w:eastAsia="Garamond" w:hAnsi="Garamond"/>
                <w:i/>
                <w:iCs/>
                <w:color w:val="4A4A4A"/>
                <w:sz w:val="18"/>
                <w:szCs w:val="18"/>
              </w:rPr>
              <w:t xml:space="preserve">Preliminary Note. This Agreement governs the deployment of the NimbusAlert clinical decision support</w:t>
            </w:r>
          </w:p>
          <w:p>
            <w:pPr>
              <w:spacing w:after="40" w:before="40"/>
            </w:pPr>
            <w:r>
              <w:rPr>
                <w:rFonts w:ascii="Garamond" w:cs="Garamond" w:eastAsia="Garamond" w:hAnsi="Garamond"/>
                <w:i/>
                <w:iCs/>
                <w:color w:val="4A4A4A"/>
                <w:sz w:val="18"/>
                <w:szCs w:val="18"/>
              </w:rPr>
              <w:t xml:space="preserve">platform at OHSN member hospitals. Pricing: $240,000 CAD ARR; 3-year initial term. Key negotiated</w:t>
            </w:r>
          </w:p>
          <w:p>
            <w:pPr>
              <w:spacing w:after="40" w:before="40"/>
            </w:pPr>
            <w:r>
              <w:rPr>
                <w:rFonts w:ascii="Garamond" w:cs="Garamond" w:eastAsia="Garamond" w:hAnsi="Garamond"/>
                <w:i/>
                <w:iCs/>
                <w:color w:val="4A4A4A"/>
                <w:sz w:val="18"/>
                <w:szCs w:val="18"/>
              </w:rPr>
              <w:t xml:space="preserve">positions include: 99.99% uptime with patient-safety carve-out; clinical liability cap at 36 months of</w:t>
            </w:r>
          </w:p>
          <w:p>
            <w:pPr>
              <w:spacing w:after="40" w:before="40"/>
            </w:pPr>
            <w:r>
              <w:rPr>
                <w:rFonts w:ascii="Garamond" w:cs="Garamond" w:eastAsia="Garamond" w:hAnsi="Garamond"/>
                <w:i/>
                <w:iCs/>
                <w:color w:val="4A4A4A"/>
                <w:sz w:val="18"/>
                <w:szCs w:val="18"/>
              </w:rPr>
              <w:t xml:space="preserve">fees with uncapped liability only for gross negligence causing documented patient harm; physician override</w:t>
            </w:r>
          </w:p>
          <w:p>
            <w:pPr>
              <w:spacing w:after="40" w:before="40"/>
            </w:pPr>
            <w:r>
              <w:rPr>
                <w:rFonts w:ascii="Garamond" w:cs="Garamond" w:eastAsia="Garamond" w:hAnsi="Garamond"/>
                <w:i/>
                <w:iCs/>
                <w:color w:val="4A4A4A"/>
                <w:sz w:val="18"/>
                <w:szCs w:val="18"/>
              </w:rPr>
              <w:t xml:space="preserve">documentation obligation on OHSN; restricted training data rights for Nimbus with anonymization</w:t>
            </w:r>
          </w:p>
          <w:p>
            <w:pPr>
              <w:spacing w:after="40" w:before="40"/>
            </w:pPr>
            <w:r>
              <w:rPr>
                <w:rFonts w:ascii="Garamond" w:cs="Garamond" w:eastAsia="Garamond" w:hAnsi="Garamond"/>
                <w:i/>
                <w:iCs/>
                <w:color w:val="4A4A4A"/>
                <w:sz w:val="18"/>
                <w:szCs w:val="18"/>
              </w:rPr>
              <w:t xml:space="preserve">requirements; Health Canada licence warranty with cure period; explainability roadmap commitment;</w:t>
            </w:r>
          </w:p>
          <w:p>
            <w:pPr>
              <w:spacing w:after="40" w:before="40"/>
            </w:pPr>
            <w:r>
              <w:rPr>
                <w:rFonts w:ascii="Garamond" w:cs="Garamond" w:eastAsia="Garamond" w:hAnsi="Garamond"/>
                <w:i/>
                <w:iCs/>
                <w:color w:val="4A4A4A"/>
                <w:sz w:val="18"/>
                <w:szCs w:val="18"/>
              </w:rPr>
              <w:t xml:space="preserve">clinical professional liability insurance; and step-in rights limited to patient safety emergencies.</w:t>
            </w:r>
          </w:p>
          <w:p>
            <w:pPr>
              <w:spacing w:after="40" w:before="40"/>
            </w:pPr>
            <w:r>
              <w:rPr>
                <w:rFonts w:ascii="Garamond" w:cs="Garamond" w:eastAsia="Garamond" w:hAnsi="Garamond"/>
                <w:i/>
                <w:iCs/>
                <w:color w:val="4A4A4A"/>
                <w:sz w:val="18"/>
                <w:szCs w:val="18"/>
              </w:rPr>
              <w:t xml:space="preserve">This document should not be construed as legal advice.</w:t>
            </w:r>
          </w:p>
        </w:tc>
      </w:tr>
    </w:tbl>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b/>
          <w:bCs/>
          <w:sz w:val="20"/>
          <w:szCs w:val="20"/>
        </w:rPr>
        <w:t xml:space="preserve">This Master Service Agreement </w:t>
      </w:r>
      <w:r>
        <w:rPr>
          <w:rFonts w:ascii="Garamond" w:cs="Garamond" w:eastAsia="Garamond" w:hAnsi="Garamond"/>
          <w:sz w:val="20"/>
          <w:szCs w:val="20"/>
        </w:rPr>
        <w:t xml:space="preserve">(the </w:t>
      </w:r>
      <w:r>
        <w:rPr>
          <w:rFonts w:ascii="Garamond" w:cs="Garamond" w:eastAsia="Garamond" w:hAnsi="Garamond"/>
          <w:b/>
          <w:bCs/>
          <w:sz w:val="20"/>
          <w:szCs w:val="20"/>
        </w:rPr>
        <w:t xml:space="preserve">"Agreement"</w:t>
      </w:r>
      <w:r>
        <w:rPr>
          <w:rFonts w:ascii="Garamond" w:cs="Garamond" w:eastAsia="Garamond" w:hAnsi="Garamond"/>
          <w:sz w:val="20"/>
          <w:szCs w:val="20"/>
        </w:rPr>
        <w:t xml:space="preserve">) is entered into as of the date last signed below (the </w:t>
      </w:r>
      <w:r>
        <w:rPr>
          <w:rFonts w:ascii="Garamond" w:cs="Garamond" w:eastAsia="Garamond" w:hAnsi="Garamond"/>
          <w:b/>
          <w:bCs/>
          <w:sz w:val="20"/>
          <w:szCs w:val="20"/>
        </w:rPr>
        <w:t xml:space="preserve">"Effective Date"</w:t>
      </w:r>
      <w:r>
        <w:rPr>
          <w:rFonts w:ascii="Garamond" w:cs="Garamond" w:eastAsia="Garamond" w:hAnsi="Garamond"/>
          <w:sz w:val="20"/>
          <w:szCs w:val="20"/>
        </w:rPr>
        <w:t xml:space="preserve">) between Nimbus Health AI Inc. (</w:t>
      </w:r>
      <w:r>
        <w:rPr>
          <w:rFonts w:ascii="Garamond" w:cs="Garamond" w:eastAsia="Garamond" w:hAnsi="Garamond"/>
          <w:b/>
          <w:bCs/>
          <w:sz w:val="20"/>
          <w:szCs w:val="20"/>
        </w:rPr>
        <w:t xml:space="preserve">"Vendor"</w:t>
      </w:r>
      <w:r>
        <w:rPr>
          <w:rFonts w:ascii="Garamond" w:cs="Garamond" w:eastAsia="Garamond" w:hAnsi="Garamond"/>
          <w:sz w:val="20"/>
          <w:szCs w:val="20"/>
        </w:rPr>
        <w:t xml:space="preserve">) and Ontario Health Sciences Network (</w:t>
      </w:r>
      <w:r>
        <w:rPr>
          <w:rFonts w:ascii="Garamond" w:cs="Garamond" w:eastAsia="Garamond" w:hAnsi="Garamond"/>
          <w:b/>
          <w:bCs/>
          <w:sz w:val="20"/>
          <w:szCs w:val="20"/>
        </w:rPr>
        <w:t xml:space="preserve">"Client"</w:t>
      </w:r>
      <w:r>
        <w:rPr>
          <w:rFonts w:ascii="Garamond" w:cs="Garamond" w:eastAsia="Garamond" w:hAnsi="Garamond"/>
          <w:sz w:val="20"/>
          <w:szCs w:val="20"/>
        </w:rPr>
        <w:t xml:space="preserve">).</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1.  DEFINITIONS</w:t>
      </w:r>
    </w:p>
    <w:p>
      <w:pPr>
        <w:spacing w:after="80" w:before="80" w:line="280"/>
      </w:pPr>
      <w:r>
        <w:rPr>
          <w:rFonts w:ascii="Garamond" w:cs="Garamond" w:eastAsia="Garamond" w:hAnsi="Garamond"/>
          <w:b/>
          <w:bCs/>
          <w:sz w:val="20"/>
          <w:szCs w:val="20"/>
        </w:rPr>
        <w:t xml:space="preserve">1.1  </w:t>
      </w:r>
      <w:r>
        <w:rPr>
          <w:rFonts w:ascii="Garamond" w:cs="Garamond" w:eastAsia="Garamond" w:hAnsi="Garamond"/>
          <w:sz w:val="20"/>
          <w:szCs w:val="20"/>
        </w:rPr>
        <w:t xml:space="preserve">"Services" means the NimbusAlert AI clinical decision support platform and any related implementation, training, integration, and support services as described in one or more Order Forms.</w:t>
      </w:r>
    </w:p>
    <w:p>
      <w:pPr>
        <w:spacing w:after="80" w:before="80" w:line="280"/>
      </w:pPr>
      <w:r>
        <w:rPr>
          <w:rFonts w:ascii="Garamond" w:cs="Garamond" w:eastAsia="Garamond" w:hAnsi="Garamond"/>
          <w:b/>
          <w:bCs/>
          <w:sz w:val="20"/>
          <w:szCs w:val="20"/>
        </w:rPr>
        <w:t xml:space="preserve">1.2  </w:t>
      </w:r>
      <w:r>
        <w:rPr>
          <w:rFonts w:ascii="Garamond" w:cs="Garamond" w:eastAsia="Garamond" w:hAnsi="Garamond"/>
          <w:sz w:val="20"/>
          <w:szCs w:val="20"/>
        </w:rPr>
        <w:t xml:space="preserve">"NimbusAlert" means Vendor's proprietary machine learning platform that analyzes real-time EHR data to generate clinical alerts, including predictions of sepsis onset, ICU deterioration, and other acute clinical events.</w:t>
      </w:r>
    </w:p>
    <w:p>
      <w:pPr>
        <w:spacing w:after="80" w:before="80" w:line="280"/>
      </w:pPr>
      <w:r>
        <w:rPr>
          <w:rFonts w:ascii="Garamond" w:cs="Garamond" w:eastAsia="Garamond" w:hAnsi="Garamond"/>
          <w:b/>
          <w:bCs/>
          <w:sz w:val="20"/>
          <w:szCs w:val="20"/>
        </w:rPr>
        <w:t xml:space="preserve">1.3  </w:t>
      </w:r>
      <w:r>
        <w:rPr>
          <w:rFonts w:ascii="Garamond" w:cs="Garamond" w:eastAsia="Garamond" w:hAnsi="Garamond"/>
          <w:sz w:val="20"/>
          <w:szCs w:val="20"/>
        </w:rPr>
        <w:t xml:space="preserve">"Clinical Alert" means a prediction, recommendation, or clinical warning generated by NimbusAlert and surfaced to a clinician through the Services.</w:t>
      </w:r>
    </w:p>
    <w:p>
      <w:pPr>
        <w:spacing w:after="80" w:before="80" w:line="280"/>
      </w:pPr>
      <w:r>
        <w:rPr>
          <w:rFonts w:ascii="Garamond" w:cs="Garamond" w:eastAsia="Garamond" w:hAnsi="Garamond"/>
          <w:b/>
          <w:bCs/>
          <w:sz w:val="20"/>
          <w:szCs w:val="20"/>
        </w:rPr>
        <w:t xml:space="preserve">1.4  </w:t>
      </w:r>
      <w:r>
        <w:rPr>
          <w:rFonts w:ascii="Garamond" w:cs="Garamond" w:eastAsia="Garamond" w:hAnsi="Garamond"/>
          <w:sz w:val="20"/>
          <w:szCs w:val="20"/>
        </w:rPr>
        <w:t xml:space="preserve">"Client Clinical Data" means de-identified or anonymized patient data (not PHI) generated or derived from OHSN member hospital EHR systems and processed by Vendor to provide the Services.</w:t>
      </w:r>
    </w:p>
    <w:p>
      <w:pPr>
        <w:spacing w:after="80" w:before="80" w:line="280"/>
      </w:pPr>
      <w:r>
        <w:rPr>
          <w:rFonts w:ascii="Garamond" w:cs="Garamond" w:eastAsia="Garamond" w:hAnsi="Garamond"/>
          <w:b/>
          <w:bCs/>
          <w:sz w:val="20"/>
          <w:szCs w:val="20"/>
        </w:rPr>
        <w:t xml:space="preserve">1.5  </w:t>
      </w:r>
      <w:r>
        <w:rPr>
          <w:rFonts w:ascii="Garamond" w:cs="Garamond" w:eastAsia="Garamond" w:hAnsi="Garamond"/>
          <w:sz w:val="20"/>
          <w:szCs w:val="20"/>
        </w:rPr>
        <w:t xml:space="preserve">"PHI" means Personal Health Information as defined under PHIPA.</w:t>
      </w:r>
    </w:p>
    <w:p>
      <w:pPr>
        <w:spacing w:after="80" w:before="80" w:line="280"/>
      </w:pPr>
      <w:r>
        <w:rPr>
          <w:rFonts w:ascii="Garamond" w:cs="Garamond" w:eastAsia="Garamond" w:hAnsi="Garamond"/>
          <w:b/>
          <w:bCs/>
          <w:sz w:val="20"/>
          <w:szCs w:val="20"/>
        </w:rPr>
        <w:t xml:space="preserve">1.6  </w:t>
      </w:r>
      <w:r>
        <w:rPr>
          <w:rFonts w:ascii="Garamond" w:cs="Garamond" w:eastAsia="Garamond" w:hAnsi="Garamond"/>
          <w:sz w:val="20"/>
          <w:szCs w:val="20"/>
        </w:rPr>
        <w:t xml:space="preserve">"Physician Override" means a documented clinical decision by an authorized clinician to disregard, modify, or not act upon a Clinical Alert.</w:t>
      </w:r>
    </w:p>
    <w:p>
      <w:pPr>
        <w:spacing w:after="80" w:before="80" w:line="280"/>
      </w:pPr>
      <w:r>
        <w:rPr>
          <w:rFonts w:ascii="Garamond" w:cs="Garamond" w:eastAsia="Garamond" w:hAnsi="Garamond"/>
          <w:b/>
          <w:bCs/>
          <w:sz w:val="20"/>
          <w:szCs w:val="20"/>
        </w:rPr>
        <w:t xml:space="preserve">1.7  </w:t>
      </w:r>
      <w:r>
        <w:rPr>
          <w:rFonts w:ascii="Garamond" w:cs="Garamond" w:eastAsia="Garamond" w:hAnsi="Garamond"/>
          <w:sz w:val="20"/>
          <w:szCs w:val="20"/>
        </w:rPr>
        <w:t xml:space="preserve">"Adverse Clinical Event" means a documented patient harm event that is the subject of a HIROC incident report, a critical incident review, or a formal clinical investigation.</w:t>
      </w:r>
    </w:p>
    <w:p>
      <w:pPr>
        <w:spacing w:after="80" w:before="80" w:line="280"/>
      </w:pPr>
      <w:r>
        <w:rPr>
          <w:rFonts w:ascii="Garamond" w:cs="Garamond" w:eastAsia="Garamond" w:hAnsi="Garamond"/>
          <w:b/>
          <w:bCs/>
          <w:sz w:val="20"/>
          <w:szCs w:val="20"/>
        </w:rPr>
        <w:t xml:space="preserve">1.8  </w:t>
      </w:r>
      <w:r>
        <w:rPr>
          <w:rFonts w:ascii="Garamond" w:cs="Garamond" w:eastAsia="Garamond" w:hAnsi="Garamond"/>
          <w:sz w:val="20"/>
          <w:szCs w:val="20"/>
        </w:rPr>
        <w:t xml:space="preserve">"Regulatory Approval" means a Class II medical device licence issued by Health Canada under the Medical Devices Regulations (SOR/98-282).</w:t>
      </w:r>
    </w:p>
    <w:p>
      <w:pPr>
        <w:spacing w:after="80" w:before="80" w:line="280"/>
      </w:pPr>
      <w:r>
        <w:rPr>
          <w:rFonts w:ascii="Garamond" w:cs="Garamond" w:eastAsia="Garamond" w:hAnsi="Garamond"/>
          <w:b/>
          <w:bCs/>
          <w:sz w:val="20"/>
          <w:szCs w:val="20"/>
        </w:rPr>
        <w:t xml:space="preserve">1.9  </w:t>
      </w:r>
      <w:r>
        <w:rPr>
          <w:rFonts w:ascii="Garamond" w:cs="Garamond" w:eastAsia="Garamond" w:hAnsi="Garamond"/>
          <w:sz w:val="20"/>
          <w:szCs w:val="20"/>
        </w:rPr>
        <w:t xml:space="preserve">"Custom Developments" means features, configurations, or modules developed specifically for Client and funded by Client under an Order Form.</w:t>
      </w:r>
    </w:p>
    <w:p>
      <w:pPr>
        <w:spacing w:after="80" w:before="80" w:line="280"/>
      </w:pPr>
      <w:r>
        <w:rPr>
          <w:rFonts w:ascii="Garamond" w:cs="Garamond" w:eastAsia="Garamond" w:hAnsi="Garamond"/>
          <w:b/>
          <w:bCs/>
          <w:sz w:val="20"/>
          <w:szCs w:val="20"/>
        </w:rPr>
        <w:t xml:space="preserve">1.10 </w:t>
      </w:r>
      <w:r>
        <w:rPr>
          <w:rFonts w:ascii="Garamond" w:cs="Garamond" w:eastAsia="Garamond" w:hAnsi="Garamond"/>
          <w:sz w:val="20"/>
          <w:szCs w:val="20"/>
        </w:rPr>
        <w:t xml:space="preserve">"Intellectual Property Rights" means all patents, copyrights, trademarks, trade secrets, and other intellectual property rights recognized under applicable law.</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2.  SERVICES AND CLINICAL OBLIGATIONS</w:t>
      </w:r>
    </w:p>
    <w:p>
      <w:pPr>
        <w:spacing w:after="60" w:before="140"/>
      </w:pPr>
      <w:r>
        <w:rPr>
          <w:rFonts w:ascii="Garamond" w:cs="Garamond" w:eastAsia="Garamond" w:hAnsi="Garamond"/>
          <w:b/>
          <w:bCs/>
          <w:sz w:val="20"/>
          <w:szCs w:val="20"/>
        </w:rPr>
        <w:t xml:space="preserve">2.1  Provision of Services.</w:t>
      </w:r>
    </w:p>
    <w:p>
      <w:pPr>
        <w:spacing w:after="80" w:before="80" w:line="280"/>
      </w:pPr>
      <w:r>
        <w:rPr>
          <w:rFonts w:ascii="Garamond" w:cs="Garamond" w:eastAsia="Garamond" w:hAnsi="Garamond"/>
          <w:sz w:val="20"/>
          <w:szCs w:val="20"/>
        </w:rPr>
        <w:t xml:space="preserve">Vendor will make NimbusAlert available to authorized clinical users at OHSN member hospitals in accordance with this Agreement and applicable Order Forms. Vendor will use commercially reasonable efforts to ensure the Services are available 99.99% of the time in any given calendar month (equating to no more than approximately 52.6 minutes of unplanned downtime per month), excluding scheduled maintenance windows communicated at least fifteen (15) business days in advance. Scheduled maintenance may not occur between 06:00 and 22:00 Eastern Time.</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99.99% uptime is an aggressive commitment rarely seen outside of critical infrastructure SaaS. Nimbus's seed-stage infrastructure almost certainly cannot meet this without investment in redundant architecture. Vendor should negotiate an initial 6-month ramp period at 99.9% (with the higher SLA applying thereafter) and confirm that its cloud hosting provider (likely AWS or Azure Canada) contractually guarantees availability consistent with this SLA. Failure to meet the SLA triggers financial credits under Schedule A.</w:t>
      </w:r>
    </w:p>
    <w:p>
      <w:pPr>
        <w:spacing w:after="60" w:before="140"/>
      </w:pPr>
      <w:r>
        <w:rPr>
          <w:rFonts w:ascii="Garamond" w:cs="Garamond" w:eastAsia="Garamond" w:hAnsi="Garamond"/>
          <w:b/>
          <w:bCs/>
          <w:sz w:val="20"/>
          <w:szCs w:val="20"/>
        </w:rPr>
        <w:t xml:space="preserve">2.2  Clinical Obligation; Decision Support Only.</w:t>
      </w:r>
    </w:p>
    <w:p>
      <w:pPr>
        <w:spacing w:after="80" w:before="80" w:line="280"/>
      </w:pPr>
      <w:r>
        <w:rPr>
          <w:rFonts w:ascii="Garamond" w:cs="Garamond" w:eastAsia="Garamond" w:hAnsi="Garamond"/>
          <w:b/>
          <w:bCs/>
          <w:sz w:val="20"/>
          <w:szCs w:val="20"/>
        </w:rPr>
        <w:t xml:space="preserve">NimbusAlert is a clinical decision support tool, not a diagnostic device.</w:t>
      </w:r>
      <w:r>
        <w:rPr>
          <w:rFonts w:ascii="Garamond" w:cs="Garamond" w:eastAsia="Garamond" w:hAnsi="Garamond"/>
          <w:sz w:val="20"/>
          <w:szCs w:val="20"/>
        </w:rPr>
        <w:t xml:space="preserve"> Vendor makes no representation that any Clinical Alert constitutes medical advice or is a substitute for clinical judgment. Vendor shall include prominent in-platform disclaimers confirming this limitation. The clinical decision whether to act on, disregard, or modify any Clinical Alert rests entirely with the treating clinician.</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This is the most important protective provision for Vendor. Without clear "decision support only" language, NimbusAlert could be characterized as a diagnostic device requiring full Health Canada Class III clearance and potentially triggering clinical liability as a "treating" system. This framing should be consistent throughout all marketing materials, user-facing documentation, and Order Forms.</w:t>
      </w:r>
    </w:p>
    <w:p>
      <w:pPr>
        <w:spacing w:after="60" w:before="140"/>
      </w:pPr>
      <w:r>
        <w:rPr>
          <w:rFonts w:ascii="Garamond" w:cs="Garamond" w:eastAsia="Garamond" w:hAnsi="Garamond"/>
          <w:b/>
          <w:bCs/>
          <w:sz w:val="20"/>
          <w:szCs w:val="20"/>
        </w:rPr>
        <w:t xml:space="preserve">2.3  Physician Override Documentation.</w:t>
      </w:r>
    </w:p>
    <w:p>
      <w:pPr>
        <w:spacing w:after="80" w:before="80" w:line="280"/>
      </w:pPr>
      <w:r>
        <w:rPr>
          <w:rFonts w:ascii="Garamond" w:cs="Garamond" w:eastAsia="Garamond" w:hAnsi="Garamond"/>
          <w:sz w:val="20"/>
          <w:szCs w:val="20"/>
        </w:rPr>
        <w:t xml:space="preserve">Client shall implement and maintain a workflow requiring clinicians to document, within the EHR, whether a Clinical Alert was: (a) acted upon; (b) subject to a Physician Override; or (c) not seen due to system or workflow failure. Client is solely responsible for the implementation and enforcement of this documentation requirement. Vendor will provide a structured data field within NimbusAlert to facilitate Override documentation, but has no obligation to ensure clinicians complete it.</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OHSN initially sought to make Vendor responsible for ensuring override documentation — an impossible obligation for a software vendor with no control over clinical staff. The compromise allocates system responsibility to Vendor (providing the field) and clinical governance responsibility to OHSN (enforcing its use). This is critical for Vendor's liability position in any Adverse Clinical Event investigation.</w:t>
      </w:r>
    </w:p>
    <w:p>
      <w:pPr>
        <w:spacing w:after="60" w:before="140"/>
      </w:pPr>
      <w:r>
        <w:rPr>
          <w:rFonts w:ascii="Garamond" w:cs="Garamond" w:eastAsia="Garamond" w:hAnsi="Garamond"/>
          <w:b/>
          <w:bCs/>
          <w:sz w:val="20"/>
          <w:szCs w:val="20"/>
        </w:rPr>
        <w:t xml:space="preserve">2.4  Health Canada Regulatory Status.</w:t>
      </w:r>
    </w:p>
    <w:p>
      <w:pPr>
        <w:spacing w:after="80" w:before="80" w:line="280"/>
      </w:pPr>
      <w:r>
        <w:rPr>
          <w:rFonts w:ascii="Garamond" w:cs="Garamond" w:eastAsia="Garamond" w:hAnsi="Garamond"/>
          <w:sz w:val="20"/>
          <w:szCs w:val="20"/>
        </w:rPr>
        <w:t xml:space="preserve">As of the Effective Date, Vendor is operating under Health Canada's Digital Health Software Interim Policy and has submitted a Class II Medical Device Licence application. Vendor warrants that it will obtain Regulatory Approval within twenty-four (24) months of the Effective Date. If Vendor fails to obtain Regulatory Approval within such period: (a) Client may terminate any affected Order Form on thirty (30) days' notice without penalty; and (b) Vendor shall provide Client with written monthly updates on regulatory progress beginning six (6) months prior to the deadline.</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OHSN initially sought a warranty of existing Health Canada approval — which Nimbus cannot provide. The compromise is a forward-looking warranty with a 24-month cure period, consistent with typical Health Canada Class II processing timelines for software-as-a-medical-device applications. Nimbus should confirm this timeline with its regulatory counsel before execution.</w:t>
      </w:r>
    </w:p>
    <w:p>
      <w:pPr>
        <w:spacing w:after="60" w:before="140"/>
      </w:pPr>
      <w:r>
        <w:rPr>
          <w:rFonts w:ascii="Garamond" w:cs="Garamond" w:eastAsia="Garamond" w:hAnsi="Garamond"/>
          <w:b/>
          <w:bCs/>
          <w:sz w:val="20"/>
          <w:szCs w:val="20"/>
        </w:rPr>
        <w:t xml:space="preserve">2.5  Explainability.</w:t>
      </w:r>
    </w:p>
    <w:p>
      <w:pPr>
        <w:spacing w:after="80" w:before="80" w:line="280"/>
      </w:pPr>
      <w:r>
        <w:rPr>
          <w:rFonts w:ascii="Garamond" w:cs="Garamond" w:eastAsia="Garamond" w:hAnsi="Garamond"/>
          <w:sz w:val="20"/>
          <w:szCs w:val="20"/>
        </w:rPr>
        <w:t xml:space="preserve">Vendor shall provide, for each Clinical Alert, a structured summary of the primary contributing data inputs (e.g., top three EHR variables with directional indicators). Vendor represents that it will use commercially reasonable efforts to enhance the explainability features of NimbusAlert throughout the term. A detailed explainability roadmap is set out in Schedule B. Client acknowledges that full feature-level explainability of the underlying machine learning model may not be technically achievable during the initial term.</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Full model explainability (e.g., SHAP values visible to clinicians in real time) is not currently implemented. OHSN initially demanded it as a go-live condition. The compromise: Vendor delivers structured contributing-variable summaries at launch and commits to a roadmap toward richer explainability. Schedule B sets specific milestones. Failure to meet roadmap milestones is a material breach subject to the cure period in Section 5.2.</w:t>
      </w:r>
    </w:p>
    <w:p>
      <w:pPr>
        <w:spacing w:after="60" w:before="140"/>
      </w:pPr>
      <w:r>
        <w:rPr>
          <w:rFonts w:ascii="Garamond" w:cs="Garamond" w:eastAsia="Garamond" w:hAnsi="Garamond"/>
          <w:b/>
          <w:bCs/>
          <w:sz w:val="20"/>
          <w:szCs w:val="20"/>
        </w:rPr>
        <w:t xml:space="preserve">2.6  Support.</w:t>
      </w:r>
    </w:p>
    <w:p>
      <w:pPr>
        <w:spacing w:after="80" w:before="80" w:line="280"/>
      </w:pPr>
      <w:r>
        <w:rPr>
          <w:rFonts w:ascii="Garamond" w:cs="Garamond" w:eastAsia="Garamond" w:hAnsi="Garamond"/>
          <w:sz w:val="20"/>
          <w:szCs w:val="20"/>
        </w:rPr>
        <w:t xml:space="preserve">Vendor will provide: </w:t>
      </w:r>
      <w:r>
        <w:rPr>
          <w:rFonts w:ascii="Garamond" w:cs="Garamond" w:eastAsia="Garamond" w:hAnsi="Garamond"/>
          <w:b/>
          <w:bCs/>
          <w:sz w:val="20"/>
          <w:szCs w:val="20"/>
        </w:rPr>
        <w:t xml:space="preserve">(a) Patient Safety Critical</w:t>
      </w:r>
      <w:r>
        <w:rPr>
          <w:rFonts w:ascii="Garamond" w:cs="Garamond" w:eastAsia="Garamond" w:hAnsi="Garamond"/>
          <w:sz w:val="20"/>
          <w:szCs w:val="20"/>
        </w:rPr>
        <w:t xml:space="preserve"> (Clinical Alerts failing to generate or generating erroneous alerts at scale): response within thirty (30) minutes, 24/7/365; </w:t>
      </w:r>
      <w:r>
        <w:rPr>
          <w:rFonts w:ascii="Garamond" w:cs="Garamond" w:eastAsia="Garamond" w:hAnsi="Garamond"/>
          <w:b/>
          <w:bCs/>
          <w:sz w:val="20"/>
          <w:szCs w:val="20"/>
        </w:rPr>
        <w:t xml:space="preserve">(b) Platform Unavailable</w:t>
      </w:r>
      <w:r>
        <w:rPr>
          <w:rFonts w:ascii="Garamond" w:cs="Garamond" w:eastAsia="Garamond" w:hAnsi="Garamond"/>
          <w:sz w:val="20"/>
          <w:szCs w:val="20"/>
        </w:rPr>
        <w:t xml:space="preserve">: response within one (1) hour, 24/7/365; </w:t>
      </w:r>
      <w:r>
        <w:rPr>
          <w:rFonts w:ascii="Garamond" w:cs="Garamond" w:eastAsia="Garamond" w:hAnsi="Garamond"/>
          <w:b/>
          <w:bCs/>
          <w:sz w:val="20"/>
          <w:szCs w:val="20"/>
        </w:rPr>
        <w:t xml:space="preserve">(c) High Priority</w:t>
      </w:r>
      <w:r>
        <w:rPr>
          <w:rFonts w:ascii="Garamond" w:cs="Garamond" w:eastAsia="Garamond" w:hAnsi="Garamond"/>
          <w:sz w:val="20"/>
          <w:szCs w:val="20"/>
        </w:rPr>
        <w:t xml:space="preserve"> (material feature degraded): response within four (4) hours during business hours; </w:t>
      </w:r>
      <w:r>
        <w:rPr>
          <w:rFonts w:ascii="Garamond" w:cs="Garamond" w:eastAsia="Garamond" w:hAnsi="Garamond"/>
          <w:b/>
          <w:bCs/>
          <w:sz w:val="20"/>
          <w:szCs w:val="20"/>
        </w:rPr>
        <w:t xml:space="preserve">(d) Standard</w:t>
      </w:r>
      <w:r>
        <w:rPr>
          <w:rFonts w:ascii="Garamond" w:cs="Garamond" w:eastAsia="Garamond" w:hAnsi="Garamond"/>
          <w:sz w:val="20"/>
          <w:szCs w:val="20"/>
        </w:rPr>
        <w:t xml:space="preserve">: response within one (1) business day. A dedicated clinical implementation liaison will be assigned to OHSN for the initial implementation period.</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3.  CLIENT OBLIGATIONS</w:t>
      </w:r>
    </w:p>
    <w:p>
      <w:pPr>
        <w:spacing w:after="80" w:before="80" w:line="280"/>
      </w:pPr>
      <w:r>
        <w:rPr>
          <w:rFonts w:ascii="Garamond" w:cs="Garamond" w:eastAsia="Garamond" w:hAnsi="Garamond"/>
          <w:b/>
          <w:bCs/>
          <w:sz w:val="20"/>
          <w:szCs w:val="20"/>
        </w:rPr>
        <w:t xml:space="preserve">3.1  </w:t>
      </w:r>
      <w:r>
        <w:rPr>
          <w:rFonts w:ascii="Garamond" w:cs="Garamond" w:eastAsia="Garamond" w:hAnsi="Garamond"/>
          <w:sz w:val="20"/>
          <w:szCs w:val="20"/>
        </w:rPr>
        <w:t xml:space="preserve">Client is responsible for: (a) ensuring authorized clinical users complete Vendor-provided onboarding training prior to using NimbusAlert in a clinical setting; (b) implementing and enforcing the Physician Override documentation workflow under Section 2.3; (c) maintaining EHR-to-NimbusAlert data feed integrity; and (d) notifying Vendor within 48 hours of any Adverse Clinical Event in which a Clinical Alert was a contributing factor.</w:t>
      </w:r>
    </w:p>
    <w:p>
      <w:pPr>
        <w:spacing w:after="80" w:before="80" w:line="280"/>
      </w:pPr>
      <w:r>
        <w:rPr>
          <w:rFonts w:ascii="Garamond" w:cs="Garamond" w:eastAsia="Garamond" w:hAnsi="Garamond"/>
          <w:b/>
          <w:bCs/>
          <w:sz w:val="20"/>
          <w:szCs w:val="20"/>
        </w:rPr>
        <w:t xml:space="preserve">3.2  </w:t>
      </w:r>
      <w:r>
        <w:rPr>
          <w:rFonts w:ascii="Garamond" w:cs="Garamond" w:eastAsia="Garamond" w:hAnsi="Garamond"/>
          <w:sz w:val="20"/>
          <w:szCs w:val="20"/>
        </w:rPr>
        <w:t xml:space="preserve">Client will not: (a) permit use of NimbusAlert by unlicensed clinical staff without direct physician supervision; (b) modify or attempt to reverse engineer the Clinical Alert algorithms; or (c) represent to patients or families that NimbusAlert constitutes a diagnostic or therapeutic system.</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4.  FEES AND PAYMENT</w:t>
      </w:r>
    </w:p>
    <w:p>
      <w:pPr>
        <w:spacing w:after="60" w:before="140"/>
      </w:pPr>
      <w:r>
        <w:rPr>
          <w:rFonts w:ascii="Garamond" w:cs="Garamond" w:eastAsia="Garamond" w:hAnsi="Garamond"/>
          <w:b/>
          <w:bCs/>
          <w:sz w:val="20"/>
          <w:szCs w:val="20"/>
        </w:rPr>
        <w:t xml:space="preserve">4.1  Fees.</w:t>
      </w:r>
    </w:p>
    <w:p>
      <w:pPr>
        <w:spacing w:after="80" w:before="80" w:line="280"/>
      </w:pPr>
      <w:r>
        <w:rPr>
          <w:rFonts w:ascii="Garamond" w:cs="Garamond" w:eastAsia="Garamond" w:hAnsi="Garamond"/>
          <w:sz w:val="20"/>
          <w:szCs w:val="20"/>
        </w:rPr>
        <w:t xml:space="preserve">$240,000 CAD per annum as specified in the Order Form. All fees in Canadian dollars.</w:t>
      </w:r>
    </w:p>
    <w:p>
      <w:pPr>
        <w:spacing w:after="60" w:before="140"/>
      </w:pPr>
      <w:r>
        <w:rPr>
          <w:rFonts w:ascii="Garamond" w:cs="Garamond" w:eastAsia="Garamond" w:hAnsi="Garamond"/>
          <w:b/>
          <w:bCs/>
          <w:sz w:val="20"/>
          <w:szCs w:val="20"/>
        </w:rPr>
        <w:t xml:space="preserve">4.2  Payment Terms.</w:t>
      </w:r>
    </w:p>
    <w:p>
      <w:pPr>
        <w:spacing w:after="80" w:before="80" w:line="280"/>
      </w:pPr>
      <w:r>
        <w:rPr>
          <w:rFonts w:ascii="Garamond" w:cs="Garamond" w:eastAsia="Garamond" w:hAnsi="Garamond"/>
          <w:sz w:val="20"/>
          <w:szCs w:val="20"/>
        </w:rPr>
        <w:t xml:space="preserve">Net 45 days from invoice date. Overdue amounts bear interest at 1.0% per month.</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Net 45 is a compromise between Nimbus's Net 30 and OHSN's Net 60. Hospital AP cycles for technology vendors are typically 45-60 days in Ontario. The 1.0%/month interest rate reflects the cash-flow significance of late payment for a seed-stage vendor.</w:t>
      </w:r>
    </w:p>
    <w:p>
      <w:pPr>
        <w:spacing w:after="60" w:before="140"/>
      </w:pPr>
      <w:r>
        <w:rPr>
          <w:rFonts w:ascii="Garamond" w:cs="Garamond" w:eastAsia="Garamond" w:hAnsi="Garamond"/>
          <w:b/>
          <w:bCs/>
          <w:sz w:val="20"/>
          <w:szCs w:val="20"/>
        </w:rPr>
        <w:t xml:space="preserve">4.3  Fee Increases.</w:t>
      </w:r>
    </w:p>
    <w:p>
      <w:pPr>
        <w:spacing w:after="80" w:before="80" w:line="280"/>
      </w:pPr>
      <w:r>
        <w:rPr>
          <w:rFonts w:ascii="Garamond" w:cs="Garamond" w:eastAsia="Garamond" w:hAnsi="Garamond"/>
          <w:sz w:val="20"/>
          <w:szCs w:val="20"/>
        </w:rPr>
        <w:t xml:space="preserve">Up to 4% per renewal year with 90 days' written notice.</w:t>
      </w:r>
    </w:p>
    <w:p>
      <w:pPr>
        <w:spacing w:after="60" w:before="140"/>
      </w:pPr>
      <w:r>
        <w:rPr>
          <w:rFonts w:ascii="Garamond" w:cs="Garamond" w:eastAsia="Garamond" w:hAnsi="Garamond"/>
          <w:b/>
          <w:bCs/>
          <w:sz w:val="20"/>
          <w:szCs w:val="20"/>
        </w:rPr>
        <w:t xml:space="preserve">4.4  Disputed Invoices.</w:t>
      </w:r>
    </w:p>
    <w:p>
      <w:pPr>
        <w:spacing w:after="80" w:before="80" w:line="280"/>
      </w:pPr>
      <w:r>
        <w:rPr>
          <w:rFonts w:ascii="Garamond" w:cs="Garamond" w:eastAsia="Garamond" w:hAnsi="Garamond"/>
          <w:sz w:val="20"/>
          <w:szCs w:val="20"/>
        </w:rPr>
        <w:t xml:space="preserve">Client will pay undisputed amounts by the due date and provide written notice of any dispute within 30 days of invoice. Vendor shall not suspend Services during a good-faith dispute.</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5.  TERM AND TERMINATION</w:t>
      </w:r>
    </w:p>
    <w:p>
      <w:pPr>
        <w:spacing w:after="60" w:before="140"/>
      </w:pPr>
      <w:r>
        <w:rPr>
          <w:rFonts w:ascii="Garamond" w:cs="Garamond" w:eastAsia="Garamond" w:hAnsi="Garamond"/>
          <w:b/>
          <w:bCs/>
          <w:sz w:val="20"/>
          <w:szCs w:val="20"/>
        </w:rPr>
        <w:t xml:space="preserve">5.1  Term.</w:t>
      </w:r>
    </w:p>
    <w:p>
      <w:pPr>
        <w:spacing w:after="80" w:before="80" w:line="280"/>
      </w:pPr>
      <w:r>
        <w:rPr>
          <w:rFonts w:ascii="Garamond" w:cs="Garamond" w:eastAsia="Garamond" w:hAnsi="Garamond"/>
          <w:sz w:val="20"/>
          <w:szCs w:val="20"/>
        </w:rPr>
        <w:t xml:space="preserve">Three (3) years from the Effective Date, renewing annually unless either Party provides 90 days' written notice of non-renewal.</w:t>
      </w:r>
    </w:p>
    <w:p>
      <w:pPr>
        <w:spacing w:after="60" w:before="140"/>
      </w:pPr>
      <w:r>
        <w:rPr>
          <w:rFonts w:ascii="Garamond" w:cs="Garamond" w:eastAsia="Garamond" w:hAnsi="Garamond"/>
          <w:b/>
          <w:bCs/>
          <w:sz w:val="20"/>
          <w:szCs w:val="20"/>
        </w:rPr>
        <w:t xml:space="preserve">5.2  Termination for Cause.</w:t>
      </w:r>
    </w:p>
    <w:p>
      <w:pPr>
        <w:spacing w:after="80" w:before="80" w:line="280"/>
      </w:pPr>
      <w:r>
        <w:rPr>
          <w:rFonts w:ascii="Garamond" w:cs="Garamond" w:eastAsia="Garamond" w:hAnsi="Garamond"/>
          <w:sz w:val="20"/>
          <w:szCs w:val="20"/>
        </w:rPr>
        <w:t xml:space="preserve">(a) </w:t>
      </w:r>
      <w:r>
        <w:rPr>
          <w:rFonts w:ascii="Garamond" w:cs="Garamond" w:eastAsia="Garamond" w:hAnsi="Garamond"/>
          <w:b/>
          <w:bCs/>
          <w:sz w:val="20"/>
          <w:szCs w:val="20"/>
        </w:rPr>
        <w:t xml:space="preserve">Material Breach.</w:t>
      </w:r>
      <w:r>
        <w:rPr>
          <w:rFonts w:ascii="Garamond" w:cs="Garamond" w:eastAsia="Garamond" w:hAnsi="Garamond"/>
          <w:sz w:val="20"/>
          <w:szCs w:val="20"/>
        </w:rPr>
        <w:t xml:space="preserve"> Either Party may terminate on written notice if the other fails to cure a material breach within thirty (30) days of notice (fifteen (15) days for a data security breach or PHIPA violation).</w:t>
      </w:r>
      <w:r>
        <w:rPr>
          <w:rFonts w:ascii="Garamond" w:cs="Garamond" w:eastAsia="Garamond" w:hAnsi="Garamond"/>
          <w:sz w:val="20"/>
          <w:szCs w:val="20"/>
        </w:rPr>
        <w:t xml:space="preserve"> (b) </w:t>
      </w:r>
      <w:r>
        <w:rPr>
          <w:rFonts w:ascii="Garamond" w:cs="Garamond" w:eastAsia="Garamond" w:hAnsi="Garamond"/>
          <w:b/>
          <w:bCs/>
          <w:sz w:val="20"/>
          <w:szCs w:val="20"/>
        </w:rPr>
        <w:t xml:space="preserve">Patient Safety Emergency.</w:t>
      </w:r>
      <w:r>
        <w:rPr>
          <w:rFonts w:ascii="Garamond" w:cs="Garamond" w:eastAsia="Garamond" w:hAnsi="Garamond"/>
          <w:sz w:val="20"/>
          <w:szCs w:val="20"/>
        </w:rPr>
        <w:t xml:space="preserve"> OHSN may terminate immediately without cure period if Vendor's platform generates a pattern of erroneous Clinical Alerts that OHSN's Chief Medical Officer certifies creates imminent patient safety risk.</w:t>
      </w:r>
      <w:r>
        <w:rPr>
          <w:rFonts w:ascii="Garamond" w:cs="Garamond" w:eastAsia="Garamond" w:hAnsi="Garamond"/>
          <w:sz w:val="20"/>
          <w:szCs w:val="20"/>
        </w:rPr>
        <w:t xml:space="preserve"> (c) </w:t>
      </w:r>
      <w:r>
        <w:rPr>
          <w:rFonts w:ascii="Garamond" w:cs="Garamond" w:eastAsia="Garamond" w:hAnsi="Garamond"/>
          <w:b/>
          <w:bCs/>
          <w:sz w:val="20"/>
          <w:szCs w:val="20"/>
        </w:rPr>
        <w:t xml:space="preserve">Regulatory Non-Approval.</w:t>
      </w:r>
      <w:r>
        <w:rPr>
          <w:rFonts w:ascii="Garamond" w:cs="Garamond" w:eastAsia="Garamond" w:hAnsi="Garamond"/>
          <w:sz w:val="20"/>
          <w:szCs w:val="20"/>
        </w:rPr>
        <w:t xml:space="preserve"> Client may terminate per Section 2.4.</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The Patient Safety Emergency termination right is unique to healthcare contexts. OHSN's CMO certification requirement creates a meaningful threshold — this is not a general performance-out. Vendor should ensure its clinical validation and post-deployment monitoring protocols can detect Alert degradation before OHSN escalates to a CMO certification.</w:t>
      </w:r>
    </w:p>
    <w:p>
      <w:pPr>
        <w:spacing w:after="60" w:before="140"/>
      </w:pPr>
      <w:r>
        <w:rPr>
          <w:rFonts w:ascii="Garamond" w:cs="Garamond" w:eastAsia="Garamond" w:hAnsi="Garamond"/>
          <w:b/>
          <w:bCs/>
          <w:sz w:val="20"/>
          <w:szCs w:val="20"/>
        </w:rPr>
        <w:t xml:space="preserve">5.3  Convenience Termination.</w:t>
      </w:r>
    </w:p>
    <w:p>
      <w:pPr>
        <w:spacing w:after="80" w:before="80" w:line="280"/>
      </w:pPr>
      <w:r>
        <w:rPr>
          <w:rFonts w:ascii="Garamond" w:cs="Garamond" w:eastAsia="Garamond" w:hAnsi="Garamond"/>
          <w:sz w:val="20"/>
          <w:szCs w:val="20"/>
        </w:rPr>
        <w:t xml:space="preserve">Client may terminate for convenience upon ninety (90) days' written notice. Upon convenience termination, Client shall pay all fees accrued to the termination date plus an early termination fee equal to fifty percent (50%) of the fees that would have been payable for the remaining months in the then-current contract year.</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Unlike the Initech/Dunder scenario, OHSN accepted a partial early termination fee — reflecting the significant clinical implementation cost Nimbus incurs for each hospital site deployment (EHR integration, staff training, clinical validation). The 50% fee applies only to the current contract year, not the full remaining term.</w:t>
      </w:r>
    </w:p>
    <w:p>
      <w:pPr>
        <w:spacing w:after="60" w:before="140"/>
      </w:pPr>
      <w:r>
        <w:rPr>
          <w:rFonts w:ascii="Garamond" w:cs="Garamond" w:eastAsia="Garamond" w:hAnsi="Garamond"/>
          <w:b/>
          <w:bCs/>
          <w:sz w:val="20"/>
          <w:szCs w:val="20"/>
        </w:rPr>
        <w:t xml:space="preserve">5.4  Effect of Termination.</w:t>
      </w:r>
    </w:p>
    <w:p>
      <w:pPr>
        <w:spacing w:after="80" w:before="80" w:line="280"/>
      </w:pPr>
      <w:r>
        <w:rPr>
          <w:rFonts w:ascii="Garamond" w:cs="Garamond" w:eastAsia="Garamond" w:hAnsi="Garamond"/>
          <w:sz w:val="20"/>
          <w:szCs w:val="20"/>
        </w:rPr>
        <w:t xml:space="preserve">Upon termination: (a) Vendor will maintain read-only access to historical Clinical Alert data for ninety (90) days to support clinical incident reviews; (b) fees are due to termination date (plus any ETF under Section 5.3); (c) Vendor will export Client Clinical Data within thirty (30) days in a machine-readable format; and (d) Vendor will cooperate with transition to a replacement system, including providing reasonable API documentation.</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6.  INTELLECTUAL PROPERTY AND TRAINING DATA</w:t>
      </w:r>
    </w:p>
    <w:p>
      <w:pPr>
        <w:spacing w:after="60" w:before="140"/>
      </w:pPr>
      <w:r>
        <w:rPr>
          <w:rFonts w:ascii="Garamond" w:cs="Garamond" w:eastAsia="Garamond" w:hAnsi="Garamond"/>
          <w:b/>
          <w:bCs/>
          <w:sz w:val="20"/>
          <w:szCs w:val="20"/>
        </w:rPr>
        <w:t xml:space="preserve">6.1  Vendor IP.</w:t>
      </w:r>
    </w:p>
    <w:p>
      <w:pPr>
        <w:spacing w:after="80" w:before="80" w:line="280"/>
      </w:pPr>
      <w:r>
        <w:rPr>
          <w:rFonts w:ascii="Garamond" w:cs="Garamond" w:eastAsia="Garamond" w:hAnsi="Garamond"/>
          <w:sz w:val="20"/>
          <w:szCs w:val="20"/>
        </w:rPr>
        <w:t xml:space="preserve">Vendor retains all Intellectual Property Rights in and to NimbusAlert, the underlying models, model weights, training datasets, algorithms, and any improvements or derivative works. Custom Developments are owned by Client upon full payment.</w:t>
      </w:r>
    </w:p>
    <w:p>
      <w:pPr>
        <w:spacing w:after="60" w:before="140"/>
      </w:pPr>
      <w:r>
        <w:rPr>
          <w:rFonts w:ascii="Garamond" w:cs="Garamond" w:eastAsia="Garamond" w:hAnsi="Garamond"/>
          <w:b/>
          <w:bCs/>
          <w:sz w:val="20"/>
          <w:szCs w:val="20"/>
        </w:rPr>
        <w:t xml:space="preserve">6.2  Client Clinical Data.</w:t>
      </w:r>
    </w:p>
    <w:p>
      <w:pPr>
        <w:spacing w:after="80" w:before="80" w:line="280"/>
      </w:pPr>
      <w:r>
        <w:rPr>
          <w:rFonts w:ascii="Garamond" w:cs="Garamond" w:eastAsia="Garamond" w:hAnsi="Garamond"/>
          <w:sz w:val="20"/>
          <w:szCs w:val="20"/>
        </w:rPr>
        <w:t xml:space="preserve">Client retains all rights in and to Client Clinical Data. Client grants Vendor a limited, non-exclusive licence to process Client Clinical Data solely to provide the Services during the term.</w:t>
      </w:r>
    </w:p>
    <w:p>
      <w:pPr>
        <w:spacing w:after="60" w:before="140"/>
      </w:pPr>
      <w:r>
        <w:rPr>
          <w:rFonts w:ascii="Garamond" w:cs="Garamond" w:eastAsia="Garamond" w:hAnsi="Garamond"/>
          <w:b/>
          <w:bCs/>
          <w:sz w:val="20"/>
          <w:szCs w:val="20"/>
        </w:rPr>
        <w:t xml:space="preserve">6.3  Model Retraining Rights.</w:t>
      </w:r>
    </w:p>
    <w:p>
      <w:pPr>
        <w:spacing w:after="80" w:before="80" w:line="280"/>
      </w:pPr>
      <w:r>
        <w:rPr>
          <w:rFonts w:ascii="Garamond" w:cs="Garamond" w:eastAsia="Garamond" w:hAnsi="Garamond"/>
          <w:sz w:val="20"/>
          <w:szCs w:val="20"/>
        </w:rPr>
        <w:t xml:space="preserve">Vendor may use aggregated, de-identified, and anonymized derivatives of Client Clinical Data to retrain, validate, and improve NimbusAlert's machine learning models, subject to: (a) Client Clinical Data being anonymized in accordance with Schedule C (Anonymization Standards); (b) no individual patient being re-identifiable from any derivative dataset; and (c) Vendor providing Client with a written summary of retraining activities annually. Vendor may not sell, license, or share Client Clinical Data or any direct derivative thereof with any third party.</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This is the most commercially significant IP provision for Nimbus. The ability to retrain on OHSN clinical data (one of Ontario's largest and most diverse hospital networks) is a core product asset. OHSN sought to prohibit any retraining use — which would have made the platform progressively less accurate and commercially valueless. The compromise: retraining allowed on properly anonymized derivatives, with an annual summary report and a prohibition on third-party commercialization.</w:t>
      </w:r>
    </w:p>
    <w:p>
      <w:pPr>
        <w:spacing w:after="60" w:before="140"/>
      </w:pPr>
      <w:r>
        <w:rPr>
          <w:rFonts w:ascii="Garamond" w:cs="Garamond" w:eastAsia="Garamond" w:hAnsi="Garamond"/>
          <w:b/>
          <w:bCs/>
          <w:sz w:val="20"/>
          <w:szCs w:val="20"/>
        </w:rPr>
        <w:t xml:space="preserve">6.4  Feedback and Clinical Outcome Data.</w:t>
      </w:r>
    </w:p>
    <w:p>
      <w:pPr>
        <w:spacing w:after="80" w:before="80" w:line="280"/>
      </w:pPr>
      <w:r>
        <w:rPr>
          <w:rFonts w:ascii="Garamond" w:cs="Garamond" w:eastAsia="Garamond" w:hAnsi="Garamond"/>
          <w:sz w:val="20"/>
          <w:szCs w:val="20"/>
        </w:rPr>
        <w:t xml:space="preserve">Vendor may use aggregated, de-identified clinical outcome data (Alert accuracy metrics, false positive/negative rates, clinical response patterns) to improve NimbusAlert, subject to the same anonymization requirements in Section 6.3. Vendor shall publish anonymized aggregate performance data annually as part of its clinical validation program.</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7.  LIABILITY AND INDEMNIFICATION</w:t>
      </w:r>
    </w:p>
    <w:p>
      <w:pPr>
        <w:spacing w:after="60" w:before="140"/>
      </w:pPr>
      <w:r>
        <w:rPr>
          <w:rFonts w:ascii="Garamond" w:cs="Garamond" w:eastAsia="Garamond" w:hAnsi="Garamond"/>
          <w:b/>
          <w:bCs/>
          <w:sz w:val="20"/>
          <w:szCs w:val="20"/>
        </w:rPr>
        <w:t xml:space="preserve">7.1  Limitation of Liability.</w:t>
      </w:r>
    </w:p>
    <w:p>
      <w:pPr>
        <w:spacing w:after="80" w:before="80" w:line="280"/>
      </w:pPr>
      <w:r>
        <w:rPr>
          <w:rFonts w:ascii="Garamond" w:cs="Garamond" w:eastAsia="Garamond" w:hAnsi="Garamond"/>
          <w:sz w:val="20"/>
          <w:szCs w:val="20"/>
        </w:rPr>
        <w:t xml:space="preserve">Vendor's total aggregate liability for all claims arising under or related to this Agreement shall not exceed the greater of: (a) the total fees paid by Client in the </w:t>
      </w:r>
      <w:r>
        <w:rPr>
          <w:rFonts w:ascii="Garamond" w:cs="Garamond" w:eastAsia="Garamond" w:hAnsi="Garamond"/>
          <w:b/>
          <w:bCs/>
          <w:sz w:val="20"/>
          <w:szCs w:val="20"/>
        </w:rPr>
        <w:t xml:space="preserve">thirty-six (36) months</w:t>
      </w:r>
      <w:r>
        <w:rPr>
          <w:rFonts w:ascii="Garamond" w:cs="Garamond" w:eastAsia="Garamond" w:hAnsi="Garamond"/>
          <w:sz w:val="20"/>
          <w:szCs w:val="20"/>
        </w:rPr>
        <w:t xml:space="preserve"> preceding the claim; or (b) $720,000 CAD (three years of contracted ARR).</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b/>
          <w:bCs/>
          <w:sz w:val="20"/>
          <w:szCs w:val="20"/>
        </w:rPr>
        <w:t xml:space="preserve">Notwithstanding the foregoing</w:t>
      </w:r>
      <w:r>
        <w:rPr>
          <w:rFonts w:ascii="Garamond" w:cs="Garamond" w:eastAsia="Garamond" w:hAnsi="Garamond"/>
          <w:sz w:val="20"/>
          <w:szCs w:val="20"/>
        </w:rPr>
        <w:t xml:space="preserve">, the liability cap shall not apply to: (a) Vendor's gross negligence or wilful misconduct that is a direct and proximate cause of a documented Adverse Clinical Event resulting in patient death or serious bodily harm; (b) PHIPA violations or unauthorized disclosure of PHI caused by Vendor; or (c) Vendor's indemnification obligations under Section 7.4. In no event shall Vendor's uncapped liability under (a) exceed </w:t>
      </w:r>
      <w:r>
        <w:rPr>
          <w:rFonts w:ascii="Garamond" w:cs="Garamond" w:eastAsia="Garamond" w:hAnsi="Garamond"/>
          <w:b/>
          <w:bCs/>
          <w:sz w:val="20"/>
          <w:szCs w:val="20"/>
        </w:rPr>
        <w:t xml:space="preserve">$5,000,000 CAD</w:t>
      </w:r>
      <w:r>
        <w:rPr>
          <w:rFonts w:ascii="Garamond" w:cs="Garamond" w:eastAsia="Garamond" w:hAnsi="Garamond"/>
          <w:sz w:val="20"/>
          <w:szCs w:val="20"/>
        </w:rPr>
        <w:t xml:space="preserve"> per Adverse Clinical Event.</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This is the defining liability negotiation in the Agreement. OHSN initially sought fully uncapped clinical liability — an existential risk for a $3.2M seed-stage company. The negotiated structure: (1) a 36-month fee cap ($720K) for ordinary commercial disputes; (2) uncapped for gross negligence causing patient death or serious harm, but with a $5M per-event ceiling; and (3) uncapped for PHIPA violations. The $5M ceiling is covered by the clinical liability insurance required under Section 7.3. Nimbus must confirm that the $5M ceiling is insurable before execution.</w:t>
      </w:r>
    </w:p>
    <w:p>
      <w:pPr>
        <w:spacing w:after="60" w:before="140"/>
      </w:pPr>
      <w:r>
        <w:rPr>
          <w:rFonts w:ascii="Garamond" w:cs="Garamond" w:eastAsia="Garamond" w:hAnsi="Garamond"/>
          <w:b/>
          <w:bCs/>
          <w:sz w:val="20"/>
          <w:szCs w:val="20"/>
        </w:rPr>
        <w:t xml:space="preserve">7.2  Exclusion of Consequential Damages.</w:t>
      </w:r>
    </w:p>
    <w:p>
      <w:pPr>
        <w:spacing w:after="80" w:before="80" w:line="280"/>
      </w:pPr>
      <w:r>
        <w:rPr>
          <w:rFonts w:ascii="Garamond" w:cs="Garamond" w:eastAsia="Garamond" w:hAnsi="Garamond"/>
          <w:sz w:val="20"/>
          <w:szCs w:val="20"/>
        </w:rPr>
        <w:t xml:space="preserve">Vendor shall not be liable for indirect, incidental, special, or punitive damages, except in connection with: (a) PHIPA violations; (b) gross negligence causing documented Adverse Clinical Events; or (c) wilful misconduct.</w:t>
      </w:r>
    </w:p>
    <w:p>
      <w:pPr>
        <w:spacing w:after="60" w:before="140"/>
      </w:pPr>
      <w:r>
        <w:rPr>
          <w:rFonts w:ascii="Garamond" w:cs="Garamond" w:eastAsia="Garamond" w:hAnsi="Garamond"/>
          <w:b/>
          <w:bCs/>
          <w:sz w:val="20"/>
          <w:szCs w:val="20"/>
        </w:rPr>
        <w:t xml:space="preserve">7.3  Minimum Insurance.</w:t>
      </w:r>
    </w:p>
    <w:p>
      <w:pPr>
        <w:spacing w:after="80" w:before="80" w:line="280"/>
      </w:pPr>
      <w:r>
        <w:rPr>
          <w:rFonts w:ascii="Garamond" w:cs="Garamond" w:eastAsia="Garamond" w:hAnsi="Garamond"/>
          <w:b/>
          <w:bCs/>
          <w:sz w:val="20"/>
          <w:szCs w:val="20"/>
        </w:rPr>
        <w:t xml:space="preserve">(a) Commercial General Liability:</w:t>
      </w:r>
      <w:r>
        <w:rPr>
          <w:rFonts w:ascii="Garamond" w:cs="Garamond" w:eastAsia="Garamond" w:hAnsi="Garamond"/>
          <w:sz w:val="20"/>
          <w:szCs w:val="20"/>
        </w:rPr>
        <w:t xml:space="preserve"> $5,000,000 per occurrence. </w:t>
      </w:r>
      <w:r>
        <w:rPr>
          <w:rFonts w:ascii="Garamond" w:cs="Garamond" w:eastAsia="Garamond" w:hAnsi="Garamond"/>
          <w:b/>
          <w:bCs/>
          <w:sz w:val="20"/>
          <w:szCs w:val="20"/>
        </w:rPr>
        <w:t xml:space="preserve">(b) Professional Liability (E&amp;O):</w:t>
      </w:r>
      <w:r>
        <w:rPr>
          <w:rFonts w:ascii="Garamond" w:cs="Garamond" w:eastAsia="Garamond" w:hAnsi="Garamond"/>
          <w:sz w:val="20"/>
          <w:szCs w:val="20"/>
        </w:rPr>
        <w:t xml:space="preserve"> $5,000,000 per occurrence. </w:t>
      </w:r>
      <w:r>
        <w:rPr>
          <w:rFonts w:ascii="Garamond" w:cs="Garamond" w:eastAsia="Garamond" w:hAnsi="Garamond"/>
          <w:b/>
          <w:bCs/>
          <w:sz w:val="20"/>
          <w:szCs w:val="20"/>
        </w:rPr>
        <w:t xml:space="preserve">(c) Cyber Liability:</w:t>
      </w:r>
      <w:r>
        <w:rPr>
          <w:rFonts w:ascii="Garamond" w:cs="Garamond" w:eastAsia="Garamond" w:hAnsi="Garamond"/>
          <w:sz w:val="20"/>
          <w:szCs w:val="20"/>
        </w:rPr>
        <w:t xml:space="preserve"> $10,000,000 per occurrence, including breach notification and regulatory defence costs. </w:t>
      </w:r>
      <w:r>
        <w:rPr>
          <w:rFonts w:ascii="Garamond" w:cs="Garamond" w:eastAsia="Garamond" w:hAnsi="Garamond"/>
          <w:b/>
          <w:bCs/>
          <w:sz w:val="20"/>
          <w:szCs w:val="20"/>
        </w:rPr>
        <w:t xml:space="preserve">(d) Clinical/Healthcare Professional Liability:</w:t>
      </w:r>
      <w:r>
        <w:rPr>
          <w:rFonts w:ascii="Garamond" w:cs="Garamond" w:eastAsia="Garamond" w:hAnsi="Garamond"/>
          <w:sz w:val="20"/>
          <w:szCs w:val="20"/>
        </w:rPr>
        <w:t xml:space="preserve"> $5,000,000 per occurrence, covering harm arising from clinical decision support outputs. </w:t>
      </w:r>
      <w:r>
        <w:rPr>
          <w:rFonts w:ascii="Garamond" w:cs="Garamond" w:eastAsia="Garamond" w:hAnsi="Garamond"/>
          <w:sz w:val="20"/>
          <w:szCs w:val="20"/>
        </w:rPr>
        <w:t xml:space="preserve">Vendor shall provide certificates of insurance within five (5) business days of execution and upon each annual renewal.</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The clinical/healthcare professional liability requirement (d) is unusual for a software vendor and may not be readily available from standard tech insurers. Nimbus should engage a health-sector insurance broker (e.g., HIROC's commercial program or a specialist like BFL Canada) to obtain coverage prior to execution. Standard tech E&amp;O policies typically exclude bodily injury claims, which is precisely the exposure here.</w:t>
      </w:r>
    </w:p>
    <w:p>
      <w:pPr>
        <w:spacing w:after="60" w:before="140"/>
      </w:pPr>
      <w:r>
        <w:rPr>
          <w:rFonts w:ascii="Garamond" w:cs="Garamond" w:eastAsia="Garamond" w:hAnsi="Garamond"/>
          <w:b/>
          <w:bCs/>
          <w:sz w:val="20"/>
          <w:szCs w:val="20"/>
        </w:rPr>
        <w:t xml:space="preserve">7.4  Indemnification.</w:t>
      </w:r>
    </w:p>
    <w:p>
      <w:pPr>
        <w:spacing w:after="80" w:before="80" w:line="280"/>
      </w:pPr>
      <w:r>
        <w:rPr>
          <w:rFonts w:ascii="Garamond" w:cs="Garamond" w:eastAsia="Garamond" w:hAnsi="Garamond"/>
          <w:sz w:val="20"/>
          <w:szCs w:val="20"/>
        </w:rPr>
        <w:t xml:space="preserve">Vendor shall indemnify, defend, and hold harmless Client and its member hospitals, officers, directors, employees, and clinicians from: (a) Vendor's material breach of this Agreement; (b) third-party IP infringement claims relating to NimbusAlert; (c) unauthorized access to or disclosure of PHI caused by Vendor's acts or omissions; and (d) Vendor's gross negligence or wilful misconduct that directly causes an Adverse Clinical Event.</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OHSN sought broad indemnification covering all patient claims arising from clinical decisions influenced by NimbusAlert. This was not accepted — the indemnification is limited to situations where Vendor's own conduct (breach, negligence, misconduct) is causal. OHSN's existing HIROC coverage addresses clinical liability arising from physician decision-making.</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8.  CONFIDENTIALITY</w:t>
      </w:r>
    </w:p>
    <w:p>
      <w:pPr>
        <w:spacing w:after="80" w:before="80" w:line="280"/>
      </w:pPr>
      <w:r>
        <w:rPr>
          <w:rFonts w:ascii="Garamond" w:cs="Garamond" w:eastAsia="Garamond" w:hAnsi="Garamond"/>
          <w:sz w:val="20"/>
          <w:szCs w:val="20"/>
        </w:rPr>
        <w:t xml:space="preserve">The parties' confidentiality obligations are governed by the Mutual Non-Disclosure Agreement executed concurrently herewith, the terms of which are incorporated by reference.</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9.  DATA PROTECTION AND PHIPA COMPLIANCE</w:t>
      </w:r>
    </w:p>
    <w:p>
      <w:pPr>
        <w:spacing w:after="60" w:before="140"/>
      </w:pPr>
      <w:r>
        <w:rPr>
          <w:rFonts w:ascii="Garamond" w:cs="Garamond" w:eastAsia="Garamond" w:hAnsi="Garamond"/>
          <w:b/>
          <w:bCs/>
          <w:sz w:val="20"/>
          <w:szCs w:val="20"/>
        </w:rPr>
        <w:t xml:space="preserve">9.1  PHIPA Agent Agreement.</w:t>
      </w:r>
    </w:p>
    <w:p>
      <w:pPr>
        <w:spacing w:after="80" w:before="80" w:line="280"/>
      </w:pPr>
      <w:r>
        <w:rPr>
          <w:rFonts w:ascii="Garamond" w:cs="Garamond" w:eastAsia="Garamond" w:hAnsi="Garamond"/>
          <w:sz w:val="20"/>
          <w:szCs w:val="20"/>
        </w:rPr>
        <w:t xml:space="preserve">Vendor will operate as a Health Information Custodian's Agent under PHIPA and will execute a written Agency Agreement with each OHSN member hospital prior to accessing any PHI. Vendor's obligations as Agent include: (a) collecting, using, and disclosing PHI only as authorized by OHSN; (b) implementing and maintaining administrative, physical, and technical safeguards as required by PHIPA; and (c) notifying OHSN within twenty-four (24) hours of any actual or suspected PHI breach.</w:t>
      </w:r>
    </w:p>
    <w:p>
      <w:pPr>
        <w:spacing w:after="60" w:before="140"/>
      </w:pPr>
      <w:r>
        <w:rPr>
          <w:rFonts w:ascii="Garamond" w:cs="Garamond" w:eastAsia="Garamond" w:hAnsi="Garamond"/>
          <w:b/>
          <w:bCs/>
          <w:sz w:val="20"/>
          <w:szCs w:val="20"/>
        </w:rPr>
        <w:t xml:space="preserve">9.2  Security Standards.</w:t>
      </w:r>
    </w:p>
    <w:p>
      <w:pPr>
        <w:spacing w:after="80" w:before="80" w:line="280"/>
      </w:pPr>
      <w:r>
        <w:rPr>
          <w:rFonts w:ascii="Garamond" w:cs="Garamond" w:eastAsia="Garamond" w:hAnsi="Garamond"/>
          <w:sz w:val="20"/>
          <w:szCs w:val="20"/>
        </w:rPr>
        <w:t xml:space="preserve">Vendor shall maintain security controls consistent with: (a) NIST Cybersecurity Framework; (b) ISO 27001; and (c) PHIPA's security requirements as interpreted by the IPC's guidelines. Evidence of compliance (audit reports, penetration test results) shall be provided to Client annually and upon request.</w:t>
      </w:r>
    </w:p>
    <w:p>
      <w:pPr>
        <w:spacing w:after="60" w:before="140"/>
      </w:pPr>
      <w:r>
        <w:rPr>
          <w:rFonts w:ascii="Garamond" w:cs="Garamond" w:eastAsia="Garamond" w:hAnsi="Garamond"/>
          <w:b/>
          <w:bCs/>
          <w:sz w:val="20"/>
          <w:szCs w:val="20"/>
        </w:rPr>
        <w:t xml:space="preserve">9.3  Data Residency.</w:t>
      </w:r>
    </w:p>
    <w:p>
      <w:pPr>
        <w:spacing w:after="80" w:before="80" w:line="280"/>
      </w:pPr>
      <w:r>
        <w:rPr>
          <w:rFonts w:ascii="Garamond" w:cs="Garamond" w:eastAsia="Garamond" w:hAnsi="Garamond"/>
          <w:sz w:val="20"/>
          <w:szCs w:val="20"/>
        </w:rPr>
        <w:t xml:space="preserve">All PHI and Client Clinical Data shall be stored and processed in Canada. Vendor shall not transfer, process, or access PHI from outside Canada without Client's prior written consent and a cross-border transfer assessment under PHIPA.</w:t>
      </w:r>
    </w:p>
    <w:p>
      <w:pPr>
        <w:spacing w:after="60" w:before="140"/>
      </w:pPr>
      <w:r>
        <w:rPr>
          <w:rFonts w:ascii="Garamond" w:cs="Garamond" w:eastAsia="Garamond" w:hAnsi="Garamond"/>
          <w:b/>
          <w:bCs/>
          <w:sz w:val="20"/>
          <w:szCs w:val="20"/>
        </w:rPr>
        <w:t xml:space="preserve">9.4  Audit Rights.</w:t>
      </w:r>
    </w:p>
    <w:p>
      <w:pPr>
        <w:spacing w:after="80" w:before="80" w:line="280"/>
      </w:pPr>
      <w:r>
        <w:rPr>
          <w:rFonts w:ascii="Garamond" w:cs="Garamond" w:eastAsia="Garamond" w:hAnsi="Garamond"/>
          <w:sz w:val="20"/>
          <w:szCs w:val="20"/>
        </w:rPr>
        <w:t xml:space="preserve">Client shall have the right to audit Vendor's PHI handling practices, information security controls, and compliance with this Agreement and PHIPA, up to twice per calendar year, with five (5) business days' written notice. OHSN may engage a qualified third-party health IT auditor. Vendor shall cooperate fully and bear its own costs.</w:t>
      </w:r>
    </w:p>
    <w:p>
      <w:pPr>
        <w:spacing w:after="60" w:before="140"/>
      </w:pPr>
      <w:r>
        <w:rPr>
          <w:rFonts w:ascii="Garamond" w:cs="Garamond" w:eastAsia="Garamond" w:hAnsi="Garamond"/>
          <w:b/>
          <w:bCs/>
          <w:sz w:val="20"/>
          <w:szCs w:val="20"/>
        </w:rPr>
        <w:t xml:space="preserve">9.5  Data Sharing and Use Agreement.</w:t>
      </w:r>
    </w:p>
    <w:p>
      <w:pPr>
        <w:spacing w:after="80" w:before="80" w:line="280"/>
      </w:pPr>
      <w:r>
        <w:rPr>
          <w:rFonts w:ascii="Garamond" w:cs="Garamond" w:eastAsia="Garamond" w:hAnsi="Garamond"/>
          <w:sz w:val="20"/>
          <w:szCs w:val="20"/>
        </w:rPr>
        <w:t xml:space="preserve">Prior to go-live at any OHSN member hospital, the parties shall execute a Data Sharing and Use Agreement in the form attached as Schedule D, governing the specific data elements, purposes, safeguards, and retention policies applicable to that site.</w:t>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10.  GENERAL</w:t>
      </w:r>
    </w:p>
    <w:p>
      <w:pPr>
        <w:spacing w:after="60" w:before="140"/>
      </w:pPr>
      <w:r>
        <w:rPr>
          <w:rFonts w:ascii="Garamond" w:cs="Garamond" w:eastAsia="Garamond" w:hAnsi="Garamond"/>
          <w:b/>
          <w:bCs/>
          <w:sz w:val="20"/>
          <w:szCs w:val="20"/>
        </w:rPr>
        <w:t xml:space="preserve">10.1  Governing Law.</w:t>
      </w:r>
    </w:p>
    <w:p>
      <w:pPr>
        <w:spacing w:after="80" w:before="80" w:line="280"/>
      </w:pPr>
      <w:r>
        <w:rPr>
          <w:rFonts w:ascii="Garamond" w:cs="Garamond" w:eastAsia="Garamond" w:hAnsi="Garamond"/>
          <w:sz w:val="20"/>
          <w:szCs w:val="20"/>
        </w:rPr>
        <w:t xml:space="preserve">Laws of Ontario. Exclusive jurisdiction: courts of Ontario.</w:t>
      </w:r>
    </w:p>
    <w:p>
      <w:pPr>
        <w:spacing w:after="60" w:before="140"/>
      </w:pPr>
      <w:r>
        <w:rPr>
          <w:rFonts w:ascii="Garamond" w:cs="Garamond" w:eastAsia="Garamond" w:hAnsi="Garamond"/>
          <w:b/>
          <w:bCs/>
          <w:sz w:val="20"/>
          <w:szCs w:val="20"/>
        </w:rPr>
        <w:t xml:space="preserve">10.2  Entire Agreement.</w:t>
      </w:r>
    </w:p>
    <w:p>
      <w:pPr>
        <w:spacing w:after="80" w:before="80" w:line="280"/>
      </w:pPr>
      <w:r>
        <w:rPr>
          <w:rFonts w:ascii="Garamond" w:cs="Garamond" w:eastAsia="Garamond" w:hAnsi="Garamond"/>
          <w:sz w:val="20"/>
          <w:szCs w:val="20"/>
        </w:rPr>
        <w:t xml:space="preserve">This Agreement, all Order Forms, the Mutual NDA, Agency Agreements, and Data Sharing and Use Agreements constitute the entire agreement. The Agency Agreements and DSUAs prevail over this Agreement with respect to PHI obligations.</w:t>
      </w:r>
    </w:p>
    <w:p>
      <w:pPr>
        <w:spacing w:after="60" w:before="140"/>
      </w:pPr>
      <w:r>
        <w:rPr>
          <w:rFonts w:ascii="Garamond" w:cs="Garamond" w:eastAsia="Garamond" w:hAnsi="Garamond"/>
          <w:b/>
          <w:bCs/>
          <w:sz w:val="20"/>
          <w:szCs w:val="20"/>
        </w:rPr>
        <w:t xml:space="preserve">10.3  Order of Precedence.</w:t>
      </w:r>
    </w:p>
    <w:p>
      <w:pPr>
        <w:spacing w:after="80" w:before="80" w:line="280"/>
      </w:pPr>
      <w:r>
        <w:rPr>
          <w:rFonts w:ascii="Garamond" w:cs="Garamond" w:eastAsia="Garamond" w:hAnsi="Garamond"/>
          <w:sz w:val="20"/>
          <w:szCs w:val="20"/>
        </w:rPr>
        <w:t xml:space="preserve">Order Form prevails over MSA for commercial terms. PHIPA instruments prevail for PHI obligations. Otherwise: DSUA &gt; Agency Agreement &gt; MSA &gt; Order Form.</w:t>
      </w:r>
    </w:p>
    <w:p>
      <w:pPr>
        <w:spacing w:after="60" w:before="140"/>
      </w:pPr>
      <w:r>
        <w:rPr>
          <w:rFonts w:ascii="Garamond" w:cs="Garamond" w:eastAsia="Garamond" w:hAnsi="Garamond"/>
          <w:b/>
          <w:bCs/>
          <w:sz w:val="20"/>
          <w:szCs w:val="20"/>
        </w:rPr>
        <w:t xml:space="preserve">10.4  Amendments.</w:t>
      </w:r>
    </w:p>
    <w:p>
      <w:pPr>
        <w:spacing w:after="80" w:before="80" w:line="280"/>
      </w:pPr>
      <w:r>
        <w:rPr>
          <w:rFonts w:ascii="Garamond" w:cs="Garamond" w:eastAsia="Garamond" w:hAnsi="Garamond"/>
          <w:sz w:val="20"/>
          <w:szCs w:val="20"/>
        </w:rPr>
        <w:t xml:space="preserve">Written instrument signed by authorized representatives of both Parties.</w:t>
      </w:r>
    </w:p>
    <w:p>
      <w:pPr>
        <w:spacing w:after="60" w:before="140"/>
      </w:pPr>
      <w:r>
        <w:rPr>
          <w:rFonts w:ascii="Garamond" w:cs="Garamond" w:eastAsia="Garamond" w:hAnsi="Garamond"/>
          <w:b/>
          <w:bCs/>
          <w:sz w:val="20"/>
          <w:szCs w:val="20"/>
        </w:rPr>
        <w:t xml:space="preserve">10.5  Assignment.</w:t>
      </w:r>
    </w:p>
    <w:p>
      <w:pPr>
        <w:spacing w:after="80" w:before="80" w:line="280"/>
      </w:pPr>
      <w:r>
        <w:rPr>
          <w:rFonts w:ascii="Garamond" w:cs="Garamond" w:eastAsia="Garamond" w:hAnsi="Garamond"/>
          <w:sz w:val="20"/>
          <w:szCs w:val="20"/>
        </w:rPr>
        <w:t xml:space="preserve">No assignment without consent, except to a successor acquiring all or substantially all of Vendor's assets, provided the successor: (a) assumes all obligations hereunder; and (b) is not a direct competitor of any OHSN member hospital.</w:t>
      </w:r>
    </w:p>
    <w:p>
      <w:pPr>
        <w:spacing w:after="60" w:before="140"/>
      </w:pPr>
      <w:r>
        <w:rPr>
          <w:rFonts w:ascii="Garamond" w:cs="Garamond" w:eastAsia="Garamond" w:hAnsi="Garamond"/>
          <w:b/>
          <w:bCs/>
          <w:sz w:val="20"/>
          <w:szCs w:val="20"/>
        </w:rPr>
        <w:t xml:space="preserve">10.6  Force Majeure.</w:t>
      </w:r>
    </w:p>
    <w:p>
      <w:pPr>
        <w:spacing w:after="80" w:before="80" w:line="280"/>
      </w:pPr>
      <w:r>
        <w:rPr>
          <w:rFonts w:ascii="Garamond" w:cs="Garamond" w:eastAsia="Garamond" w:hAnsi="Garamond"/>
          <w:sz w:val="20"/>
          <w:szCs w:val="20"/>
        </w:rPr>
        <w:t xml:space="preserve">Neither party is liable for failure due to circumstances beyond reasonable control, except that force majeure does not excuse Vendor's PHI breach notification obligations or Patient Safety Critical support response times.</w:t>
      </w:r>
    </w:p>
    <w:p>
      <w:pPr>
        <w:spacing w:after="60" w:before="140"/>
      </w:pPr>
      <w:r>
        <w:rPr>
          <w:rFonts w:ascii="Garamond" w:cs="Garamond" w:eastAsia="Garamond" w:hAnsi="Garamond"/>
          <w:b/>
          <w:bCs/>
          <w:sz w:val="20"/>
          <w:szCs w:val="20"/>
        </w:rPr>
        <w:t xml:space="preserve">10.7  Severability.</w:t>
      </w:r>
    </w:p>
    <w:p>
      <w:pPr>
        <w:spacing w:after="80" w:before="80" w:line="280"/>
      </w:pPr>
      <w:r>
        <w:rPr>
          <w:rFonts w:ascii="Garamond" w:cs="Garamond" w:eastAsia="Garamond" w:hAnsi="Garamond"/>
          <w:sz w:val="20"/>
          <w:szCs w:val="20"/>
        </w:rPr>
        <w:t xml:space="preserve">Invalid provisions severed; remainder continues.</w:t>
      </w:r>
    </w:p>
    <w:p>
      <w:pPr>
        <w:spacing w:after="60" w:before="140"/>
      </w:pPr>
      <w:r>
        <w:rPr>
          <w:rFonts w:ascii="Garamond" w:cs="Garamond" w:eastAsia="Garamond" w:hAnsi="Garamond"/>
          <w:b/>
          <w:bCs/>
          <w:sz w:val="20"/>
          <w:szCs w:val="20"/>
        </w:rPr>
        <w:t xml:space="preserve">10.8  Counterparts.</w:t>
      </w:r>
    </w:p>
    <w:p>
      <w:pPr>
        <w:spacing w:after="80" w:before="80" w:line="280"/>
      </w:pPr>
      <w:r>
        <w:rPr>
          <w:rFonts w:ascii="Garamond" w:cs="Garamond" w:eastAsia="Garamond" w:hAnsi="Garamond"/>
          <w:sz w:val="20"/>
          <w:szCs w:val="20"/>
        </w:rPr>
        <w:t xml:space="preserve">Electronic signatures and counterparts accepted.</w:t>
      </w:r>
    </w:p>
    <w:p>
      <w:pPr>
        <w:spacing w:after="60" w:before="140"/>
      </w:pPr>
      <w:r>
        <w:rPr>
          <w:rFonts w:ascii="Garamond" w:cs="Garamond" w:eastAsia="Garamond" w:hAnsi="Garamond"/>
          <w:b/>
          <w:bCs/>
          <w:sz w:val="20"/>
          <w:szCs w:val="20"/>
        </w:rPr>
        <w:t xml:space="preserve">10.9  Step-In Rights.</w:t>
      </w:r>
    </w:p>
    <w:p>
      <w:pPr>
        <w:spacing w:after="80" w:before="80" w:line="280"/>
      </w:pPr>
      <w:r>
        <w:rPr>
          <w:rFonts w:ascii="Garamond" w:cs="Garamond" w:eastAsia="Garamond" w:hAnsi="Garamond"/>
          <w:sz w:val="20"/>
          <w:szCs w:val="20"/>
        </w:rPr>
        <w:t xml:space="preserve">OHSN may exercise step-in rights — assuming control of the Services or appointing a third party to provide equivalent functionality — only where: (a) Vendor is insolvent or has had a receiver appointed; or (b) OHSN's Chief Medical Officer has issued a written Patient Safety Emergency certification under Section 5.2(b). Vendor shall cooperate fully with any step-in, including providing API documentation, model specifications (subject to appropriate IP protections), and reasonable transition assistance.</w:t>
      </w:r>
    </w:p>
    <w:p>
      <w:pPr>
        <w:pBdr>
          <w:left w:val="single" w:color="005B6E" w:sz="6" w:space="8"/>
        </w:pBdr>
        <w:spacing w:after="100" w:before="60" w:line="260"/>
        <w:ind w:left="800"/>
      </w:pPr>
      <w:r>
        <w:rPr>
          <w:rFonts w:ascii="Garamond" w:cs="Garamond" w:eastAsia="Garamond" w:hAnsi="Garamond"/>
          <w:i/>
          <w:iCs/>
          <w:color w:val="4A4A4A"/>
          <w:sz w:val="18"/>
          <w:szCs w:val="18"/>
        </w:rPr>
        <w:t xml:space="preserve">Note. Step-in rights are narrowly scoped compared to OHSN's initial draft, which allowed step-in for any "material failure to perform." The limitation to insolvency and CMO-certified patient safety emergencies prevents OHSN from using step-in rights as a commercial lever in billing disputes or routine SLA disputes. Model specifications are provided in step-in subject to IP protections — meaning OHSN gets enough to operate the system but cannot commercialize or reverse-engineer the model.</w:t>
      </w:r>
    </w:p>
    <w:p>
      <w:pPr>
        <w:pBdr>
          <w:bottom w:val="single" w:color="AECFD4" w:sz="2" w:space="4"/>
        </w:pBdr>
        <w:spacing w:after="120" w:before="120"/>
      </w:pPr>
      <w:r>
        <w:rPr>
          <w:rFonts w:ascii="Garamond" w:cs="Garamond" w:eastAsia="Garamond" w:hAnsi="Garamond"/>
          <w:sz w:val="20"/>
          <w:szCs w:val="20"/>
        </w:rPr>
        <w:t xml:space="preserve"/>
      </w:r>
    </w:p>
    <w:p>
      <w:pPr>
        <w:pStyle w:val="Heading1"/>
        <w:pBdr>
          <w:bottom w:val="single" w:color="005B6E" w:sz="4" w:space="4"/>
        </w:pBdr>
        <w:spacing w:after="120" w:before="360"/>
        <w:outlineLvl w:val="0"/>
      </w:pPr>
      <w:r>
        <w:rPr>
          <w:rFonts w:ascii="Garamond" w:cs="Garamond" w:eastAsia="Garamond" w:hAnsi="Garamond"/>
          <w:b/>
          <w:bCs/>
          <w:color w:val="005B6E"/>
          <w:sz w:val="24"/>
          <w:szCs w:val="24"/>
        </w:rPr>
        <w:t xml:space="preserve">SIGNATURES</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IN WITNESS WHEREOF, the Parties have executed this Master Service Agreement as of the Effective Date.</w:t>
      </w:r>
    </w:p>
    <w:p>
      <w:pPr>
        <w:spacing w:after="0" w:before="0"/>
      </w:pPr>
      <w:r>
        <w:rPr>
          <w:rFonts w:ascii="Garamond" w:cs="Garamond" w:eastAsia="Garamond" w:hAnsi="Garamond"/>
          <w:sz w:val="20"/>
          <w:szCs w:val="20"/>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b/>
                <w:bCs/>
                <w:sz w:val="20"/>
                <w:szCs w:val="20"/>
              </w:rPr>
              <w:t xml:space="preserve">NIMBUS HEALTH AI INC.</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b/>
                <w:bCs/>
                <w:sz w:val="20"/>
                <w:szCs w:val="20"/>
              </w:rPr>
              <w:t xml:space="preserve">ONTARIO HEALTH SCIENCES NETWORK</w:t>
            </w:r>
          </w:p>
        </w:tc>
      </w:tr>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Signature:</w:t>
            </w:r>
          </w:p>
          <w:p>
            <w:pPr>
              <w:spacing w:after="40" w:before="120"/>
            </w:pPr>
            <w:r>
              <w:rPr>
                <w:rFonts w:ascii="Garamond" w:cs="Garamond" w:eastAsia="Garamond" w:hAnsi="Garamond"/>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Signature:</w:t>
            </w:r>
          </w:p>
          <w:p>
            <w:pPr>
              <w:spacing w:after="40" w:before="120"/>
            </w:pPr>
            <w:r>
              <w:rPr>
                <w:rFonts w:ascii="Garamond" w:cs="Garamond" w:eastAsia="Garamond" w:hAnsi="Garamond"/>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Name:</w:t>
            </w:r>
          </w:p>
          <w:p>
            <w:pPr>
              <w:spacing w:after="40" w:before="120"/>
            </w:pPr>
            <w:r>
              <w:rPr>
                <w:rFonts w:ascii="Garamond" w:cs="Garamond" w:eastAsia="Garamond" w:hAnsi="Garamond"/>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Name:</w:t>
            </w:r>
          </w:p>
          <w:p>
            <w:pPr>
              <w:spacing w:after="40" w:before="120"/>
            </w:pPr>
            <w:r>
              <w:rPr>
                <w:rFonts w:ascii="Garamond" w:cs="Garamond" w:eastAsia="Garamond" w:hAnsi="Garamond"/>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Title:</w:t>
            </w:r>
          </w:p>
          <w:p>
            <w:pPr>
              <w:spacing w:after="40" w:before="120"/>
            </w:pPr>
            <w:r>
              <w:rPr>
                <w:rFonts w:ascii="Garamond" w:cs="Garamond" w:eastAsia="Garamond" w:hAnsi="Garamond"/>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Title:</w:t>
            </w:r>
          </w:p>
          <w:p>
            <w:pPr>
              <w:spacing w:after="40" w:before="120"/>
            </w:pPr>
            <w:r>
              <w:rPr>
                <w:rFonts w:ascii="Garamond" w:cs="Garamond" w:eastAsia="Garamond" w:hAnsi="Garamond"/>
                <w:sz w:val="20"/>
                <w:szCs w:val="20"/>
              </w:rPr>
              <w:t xml:space="preserve">________________________</w:t>
            </w:r>
          </w:p>
        </w:tc>
      </w:tr>
      <w:tr>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Date:</w:t>
            </w:r>
          </w:p>
          <w:p>
            <w:pPr>
              <w:spacing w:after="40" w:before="120"/>
            </w:pPr>
            <w:r>
              <w:rPr>
                <w:rFonts w:ascii="Garamond" w:cs="Garamond" w:eastAsia="Garamond" w:hAnsi="Garamond"/>
                <w:sz w:val="20"/>
                <w:szCs w:val="20"/>
              </w:rPr>
              <w:t xml:space="preserve">________________________</w:t>
            </w:r>
          </w:p>
        </w:tc>
        <w:tc>
          <w:tcPr>
            <w:tcW w:type="dxa" w:w="4320"/>
            <w:tcBorders>
              <w:top w:val="single" w:color="CCCCCC" w:sz="4"/>
              <w:left w:val="single" w:color="CCCCCC" w:sz="4"/>
              <w:bottom w:val="single" w:color="CCCCCC" w:sz="4"/>
              <w:right w:val="single" w:color="CCCCCC" w:sz="4"/>
            </w:tcBorders>
            <w:shd w:fill="F7FAFB" w:val="clear"/>
            <w:tcMar>
              <w:top w:type="dxa" w:w="120"/>
              <w:left w:type="dxa" w:w="200"/>
              <w:bottom w:type="dxa" w:w="120"/>
              <w:right w:type="dxa" w:w="200"/>
            </w:tcMar>
          </w:tcPr>
          <w:p>
            <w:pPr>
              <w:spacing w:after="80" w:before="80" w:line="280"/>
            </w:pPr>
            <w:r>
              <w:rPr>
                <w:rFonts w:ascii="Garamond" w:cs="Garamond" w:eastAsia="Garamond" w:hAnsi="Garamond"/>
                <w:sz w:val="20"/>
                <w:szCs w:val="20"/>
              </w:rPr>
              <w:t xml:space="preserve">Date:</w:t>
            </w:r>
          </w:p>
          <w:p>
            <w:pPr>
              <w:spacing w:after="40" w:before="120"/>
            </w:pPr>
            <w:r>
              <w:rPr>
                <w:rFonts w:ascii="Garamond" w:cs="Garamond" w:eastAsia="Garamond" w:hAnsi="Garamond"/>
                <w:sz w:val="20"/>
                <w:szCs w:val="20"/>
              </w:rPr>
              <w:t xml:space="preserve">________________________</w:t>
            </w:r>
          </w:p>
        </w:tc>
      </w:tr>
    </w:tbl>
    <w:p>
      <w:pPr>
        <w:spacing w:after="0" w:before="0"/>
      </w:pPr>
      <w:r>
        <w:rPr>
          <w:rFonts w:ascii="Garamond" w:cs="Garamond" w:eastAsia="Garamond" w:hAnsi="Garamond"/>
          <w:sz w:val="20"/>
          <w:szCs w:val="20"/>
        </w:rPr>
        <w:t xml:space="preserve"/>
      </w:r>
    </w:p>
    <w:p>
      <w:pPr>
        <w:spacing w:after="0" w:before="0"/>
      </w:pPr>
      <w:r>
        <w:br w:type="page"/>
      </w:r>
    </w:p>
    <w:p>
      <w:pPr>
        <w:pStyle w:val="Heading2"/>
        <w:spacing w:after="80" w:before="240"/>
        <w:outlineLvl w:val="1"/>
      </w:pPr>
      <w:r>
        <w:rPr>
          <w:rFonts w:ascii="Garamond" w:cs="Garamond" w:eastAsia="Garamond" w:hAnsi="Garamond"/>
          <w:b/>
          <w:bCs/>
          <w:caps/>
          <w:color w:val="005B6E"/>
          <w:sz w:val="22"/>
          <w:szCs w:val="22"/>
        </w:rPr>
        <w:t xml:space="preserve">SCHEDULE A — SLA CREDITS</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In any calendar month where uptime falls below 99.99%, Client shall receive service credits as follows:</w:t>
      </w:r>
    </w:p>
    <w:p>
      <w:pPr>
        <w:spacing w:after="0" w:before="0"/>
      </w:pPr>
      <w:r>
        <w:rPr>
          <w:rFonts w:ascii="Garamond" w:cs="Garamond" w:eastAsia="Garamond" w:hAnsi="Garamon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6EEF2" w:val="clear"/>
            <w:tcMar>
              <w:top w:type="dxa" w:w="80"/>
              <w:left w:type="dxa" w:w="140"/>
              <w:bottom w:type="dxa" w:w="80"/>
              <w:right w:type="dxa" w:w="140"/>
            </w:tcMar>
          </w:tcPr>
          <w:p>
            <w:pPr>
              <w:spacing w:after="0" w:before="0"/>
            </w:pPr>
            <w:r>
              <w:rPr>
                <w:rFonts w:ascii="Garamond" w:cs="Garamond" w:eastAsia="Garamond" w:hAnsi="Garamond"/>
                <w:b/>
                <w:bCs/>
                <w:sz w:val="18"/>
                <w:szCs w:val="18"/>
              </w:rPr>
              <w:t xml:space="preserve">Monthly Uptime</w:t>
            </w:r>
          </w:p>
        </w:tc>
        <w:tc>
          <w:tcPr>
            <w:tcW w:type="dxa" w:w="3120"/>
            <w:tcBorders>
              <w:top w:val="single" w:color="CCCCCC" w:sz="4"/>
              <w:left w:val="single" w:color="CCCCCC" w:sz="4"/>
              <w:bottom w:val="single" w:color="CCCCCC" w:sz="4"/>
              <w:right w:val="single" w:color="CCCCCC" w:sz="4"/>
            </w:tcBorders>
            <w:shd w:fill="D6EEF2" w:val="clear"/>
            <w:tcMar>
              <w:top w:type="dxa" w:w="80"/>
              <w:left w:type="dxa" w:w="140"/>
              <w:bottom w:type="dxa" w:w="80"/>
              <w:right w:type="dxa" w:w="140"/>
            </w:tcMar>
          </w:tcPr>
          <w:p>
            <w:pPr>
              <w:spacing w:after="0" w:before="0"/>
            </w:pPr>
            <w:r>
              <w:rPr>
                <w:rFonts w:ascii="Garamond" w:cs="Garamond" w:eastAsia="Garamond" w:hAnsi="Garamond"/>
                <w:b/>
                <w:bCs/>
                <w:sz w:val="18"/>
                <w:szCs w:val="18"/>
              </w:rPr>
              <w:t xml:space="preserve">Downtime (approx.)</w:t>
            </w:r>
          </w:p>
        </w:tc>
        <w:tc>
          <w:tcPr>
            <w:tcW w:type="dxa" w:w="3120"/>
            <w:tcBorders>
              <w:top w:val="single" w:color="CCCCCC" w:sz="4"/>
              <w:left w:val="single" w:color="CCCCCC" w:sz="4"/>
              <w:bottom w:val="single" w:color="CCCCCC" w:sz="4"/>
              <w:right w:val="single" w:color="CCCCCC" w:sz="4"/>
            </w:tcBorders>
            <w:shd w:fill="D6EEF2" w:val="clear"/>
            <w:tcMar>
              <w:top w:type="dxa" w:w="80"/>
              <w:left w:type="dxa" w:w="140"/>
              <w:bottom w:type="dxa" w:w="80"/>
              <w:right w:type="dxa" w:w="140"/>
            </w:tcMar>
          </w:tcPr>
          <w:p>
            <w:pPr>
              <w:spacing w:after="0" w:before="0"/>
            </w:pPr>
            <w:r>
              <w:rPr>
                <w:rFonts w:ascii="Garamond" w:cs="Garamond" w:eastAsia="Garamond" w:hAnsi="Garamond"/>
                <w:b/>
                <w:bCs/>
                <w:sz w:val="18"/>
                <w:szCs w:val="18"/>
              </w:rPr>
              <w:t xml:space="preserve">Credit (% of Monthly Fee)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99.99% – 99.95%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4.4 – 21.9 min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5%</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99.95% – 99.9%</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21.9 – 43.8 min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10%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99.9% – 99.5%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43.8 min – 3.6 hrs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20%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Below 99.5%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&gt; 3.6 hrs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80" w:before="80" w:line="280"/>
            </w:pPr>
            <w:r>
              <w:rPr>
                <w:rFonts w:ascii="Garamond" w:cs="Garamond" w:eastAsia="Garamond" w:hAnsi="Garamond"/>
                <w:sz w:val="18"/>
                <w:szCs w:val="18"/>
              </w:rPr>
              <w:t xml:space="preserve">30% + right to terminate</w:t>
            </w:r>
          </w:p>
        </w:tc>
      </w:tr>
    </w:tbl>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Credits are the sole financial remedy for SLA failures. Credits do not apply where downtime results from Client's acts, OHSN EHR system failures, or scheduled maintenance.</w:t>
      </w:r>
    </w:p>
    <w:p>
      <w:pPr>
        <w:spacing w:after="0" w:before="0"/>
      </w:pPr>
      <w:r>
        <w:rPr>
          <w:rFonts w:ascii="Garamond" w:cs="Garamond" w:eastAsia="Garamond" w:hAnsi="Garamond"/>
          <w:sz w:val="20"/>
          <w:szCs w:val="20"/>
        </w:rPr>
        <w:t xml:space="preserve"/>
      </w:r>
    </w:p>
    <w:p>
      <w:pPr>
        <w:pStyle w:val="Heading2"/>
        <w:spacing w:after="80" w:before="240"/>
        <w:outlineLvl w:val="1"/>
      </w:pPr>
      <w:r>
        <w:rPr>
          <w:rFonts w:ascii="Garamond" w:cs="Garamond" w:eastAsia="Garamond" w:hAnsi="Garamond"/>
          <w:b/>
          <w:bCs/>
          <w:caps/>
          <w:color w:val="005B6E"/>
          <w:sz w:val="22"/>
          <w:szCs w:val="22"/>
        </w:rPr>
        <w:t xml:space="preserve">SCHEDULE B — EXPLAINABILITY ROADMAP</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Vendor commits to the following explainability milestones during the initial 3-year term:</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b/>
          <w:bCs/>
          <w:sz w:val="20"/>
          <w:szCs w:val="20"/>
        </w:rPr>
        <w:t xml:space="preserve">Month 0 (Go-live): </w:t>
      </w:r>
      <w:r>
        <w:rPr>
          <w:rFonts w:ascii="Garamond" w:cs="Garamond" w:eastAsia="Garamond" w:hAnsi="Garamond"/>
          <w:sz w:val="20"/>
          <w:szCs w:val="20"/>
        </w:rPr>
        <w:t xml:space="preserve">Structured contributing-variable summary (top 3 EHR inputs with directional indicators) displayed per Clinical Alert.</w:t>
      </w:r>
    </w:p>
    <w:p>
      <w:pPr>
        <w:spacing w:after="80" w:before="80" w:line="280"/>
      </w:pPr>
      <w:r>
        <w:rPr>
          <w:rFonts w:ascii="Garamond" w:cs="Garamond" w:eastAsia="Garamond" w:hAnsi="Garamond"/>
          <w:b/>
          <w:bCs/>
          <w:sz w:val="20"/>
          <w:szCs w:val="20"/>
        </w:rPr>
        <w:t xml:space="preserve">Month 12: </w:t>
      </w:r>
      <w:r>
        <w:rPr>
          <w:rFonts w:ascii="Garamond" w:cs="Garamond" w:eastAsia="Garamond" w:hAnsi="Garamond"/>
          <w:sz w:val="20"/>
          <w:szCs w:val="20"/>
        </w:rPr>
        <w:t xml:space="preserve">SHAP-based feature importance visualization available in Vendor's clinical analytics dashboard.</w:t>
      </w:r>
    </w:p>
    <w:p>
      <w:pPr>
        <w:spacing w:after="80" w:before="80" w:line="280"/>
      </w:pPr>
      <w:r>
        <w:rPr>
          <w:rFonts w:ascii="Garamond" w:cs="Garamond" w:eastAsia="Garamond" w:hAnsi="Garamond"/>
          <w:b/>
          <w:bCs/>
          <w:sz w:val="20"/>
          <w:szCs w:val="20"/>
        </w:rPr>
        <w:t xml:space="preserve">Month 24: </w:t>
      </w:r>
      <w:r>
        <w:rPr>
          <w:rFonts w:ascii="Garamond" w:cs="Garamond" w:eastAsia="Garamond" w:hAnsi="Garamond"/>
          <w:sz w:val="20"/>
          <w:szCs w:val="20"/>
        </w:rPr>
        <w:t xml:space="preserve">Clinician-facing plain-language explanation of each Alert's primary clinical drivers, reviewed by a clinical advisory board.</w:t>
      </w:r>
    </w:p>
    <w:p>
      <w:pPr>
        <w:spacing w:after="80" w:before="80" w:line="280"/>
      </w:pPr>
      <w:r>
        <w:rPr>
          <w:rFonts w:ascii="Garamond" w:cs="Garamond" w:eastAsia="Garamond" w:hAnsi="Garamond"/>
          <w:b/>
          <w:bCs/>
          <w:sz w:val="20"/>
          <w:szCs w:val="20"/>
        </w:rPr>
        <w:t xml:space="preserve">Month 36: </w:t>
      </w:r>
      <w:r>
        <w:rPr>
          <w:rFonts w:ascii="Garamond" w:cs="Garamond" w:eastAsia="Garamond" w:hAnsi="Garamond"/>
          <w:sz w:val="20"/>
          <w:szCs w:val="20"/>
        </w:rPr>
        <w:t xml:space="preserve">Full audit trail including model version, input data timestamp, and prediction confidence score, exportable for HIROC incident reports.</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Failure to deliver any milestone within 60 days of the committed date constitutes a material breach subject to the cure period in Section 5.2(a).</w:t>
      </w:r>
    </w:p>
    <w:p>
      <w:pPr>
        <w:spacing w:after="0" w:before="0"/>
      </w:pPr>
      <w:r>
        <w:rPr>
          <w:rFonts w:ascii="Garamond" w:cs="Garamond" w:eastAsia="Garamond" w:hAnsi="Garamond"/>
          <w:sz w:val="20"/>
          <w:szCs w:val="20"/>
        </w:rPr>
        <w:t xml:space="preserve"/>
      </w:r>
    </w:p>
    <w:p>
      <w:pPr>
        <w:pStyle w:val="Heading2"/>
        <w:spacing w:after="80" w:before="240"/>
        <w:outlineLvl w:val="1"/>
      </w:pPr>
      <w:r>
        <w:rPr>
          <w:rFonts w:ascii="Garamond" w:cs="Garamond" w:eastAsia="Garamond" w:hAnsi="Garamond"/>
          <w:b/>
          <w:bCs/>
          <w:caps/>
          <w:color w:val="005B6E"/>
          <w:sz w:val="22"/>
          <w:szCs w:val="22"/>
        </w:rPr>
        <w:t xml:space="preserve">SCHEDULE C — ANONYMIZATION STANDARDS</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De-identification and anonymization of Client Clinical Data for model retraining purposes under Section 6.3 shall comply with: (a) the PHIPA de-identification standard as set out in the IPC's 2020 De-identification Guidelines; (b) Health Canada's De-Identification Guidance for Real-World Data; and (c) a risk-based re-identification threshold of no greater than 0.09 (consistent with NIST SP 800-188). Vendor shall conduct a formal re-identification risk assessment annually and provide results to Client.</w:t>
      </w:r>
    </w:p>
    <w:p>
      <w:pPr>
        <w:spacing w:after="0" w:before="0"/>
      </w:pPr>
      <w:r>
        <w:rPr>
          <w:rFonts w:ascii="Garamond" w:cs="Garamond" w:eastAsia="Garamond" w:hAnsi="Garamond"/>
          <w:sz w:val="20"/>
          <w:szCs w:val="20"/>
        </w:rPr>
        <w:t xml:space="preserve"/>
      </w:r>
    </w:p>
    <w:p>
      <w:pPr>
        <w:pStyle w:val="Heading2"/>
        <w:spacing w:after="80" w:before="240"/>
        <w:outlineLvl w:val="1"/>
      </w:pPr>
      <w:r>
        <w:rPr>
          <w:rFonts w:ascii="Garamond" w:cs="Garamond" w:eastAsia="Garamond" w:hAnsi="Garamond"/>
          <w:b/>
          <w:bCs/>
          <w:caps/>
          <w:color w:val="005B6E"/>
          <w:sz w:val="22"/>
          <w:szCs w:val="22"/>
        </w:rPr>
        <w:t xml:space="preserve">SCHEDULE D — FORM OF DATA SHARING AND USE AGREEMENT</w:t>
      </w:r>
    </w:p>
    <w:p>
      <w:pPr>
        <w:spacing w:after="0" w:before="0"/>
      </w:pPr>
      <w:r>
        <w:rPr>
          <w:rFonts w:ascii="Garamond" w:cs="Garamond" w:eastAsia="Garamond" w:hAnsi="Garamond"/>
          <w:sz w:val="20"/>
          <w:szCs w:val="20"/>
        </w:rPr>
        <w:t xml:space="preserve"/>
      </w:r>
    </w:p>
    <w:p>
      <w:pPr>
        <w:spacing w:after="80" w:before="80" w:line="280"/>
      </w:pPr>
      <w:r>
        <w:rPr>
          <w:rFonts w:ascii="Garamond" w:cs="Garamond" w:eastAsia="Garamond" w:hAnsi="Garamond"/>
          <w:sz w:val="20"/>
          <w:szCs w:val="20"/>
        </w:rPr>
        <w:t xml:space="preserve">[To be negotiated and executed on a per-site basis prior to go-live at each OHSN member hospital. Each DSUA shall specify: (a) the PHI elements to be accessed by Vendor; (b) the purpose and legal authority for each data use under PHIPA; (c) retention and deletion schedules; (d) applicable technical and physical safeguards; and (e) reporting obligations to the IPC.]</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FD4" w:sz="2" w:space="4"/>
      </w:pBdr>
      <w:spacing w:before="60"/>
    </w:pPr>
    <w:r>
      <w:rPr>
        <w:rFonts w:ascii="Garamond" w:cs="Garamond" w:eastAsia="Garamond" w:hAnsi="Garamond"/>
        <w:color w:val="4A4A4A"/>
        <w:sz w:val="16"/>
        <w:szCs w:val="16"/>
      </w:rPr>
      <w:t xml:space="preserve">© 2025 Nimbus Health AI Inc. &amp; Ontario Health Sciences Network.  All rights reserved.    Page </w:t>
    </w:r>
    <w:pgNum/>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FD4" w:sz="2" w:space="4"/>
      </w:pBdr>
      <w:spacing w:before="60"/>
    </w:pPr>
    <w:r>
      <w:rPr>
        <w:rFonts w:ascii="Garamond" w:cs="Garamond" w:eastAsia="Garamond" w:hAnsi="Garamond"/>
        <w:color w:val="4A4A4A"/>
        <w:sz w:val="16"/>
        <w:szCs w:val="16"/>
      </w:rPr>
      <w:t xml:space="preserve">© 2025 Nimbus Health AI Inc. &amp; Ontario Health Sciences Network.  All rights reserved.    Page </w:t>
    </w:r>
    <w:pgNum/>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FD4" w:sz="2" w:space="4"/>
      </w:pBdr>
      <w:spacing w:before="60"/>
    </w:pPr>
    <w:r>
      <w:rPr>
        <w:rFonts w:ascii="Garamond" w:cs="Garamond" w:eastAsia="Garamond" w:hAnsi="Garamond"/>
        <w:color w:val="4A4A4A"/>
        <w:sz w:val="16"/>
        <w:szCs w:val="16"/>
      </w:rPr>
      <w:t xml:space="preserve">© 2025 Nimbus Health AI Inc. &amp; Ontario Health Sciences Network.  All rights reserved.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FD4" w:sz="2" w:space="4"/>
      </w:pBdr>
      <w:spacing w:after="60"/>
    </w:pPr>
    <w:r>
      <w:rPr>
        <w:rFonts w:ascii="Garamond" w:cs="Garamond" w:eastAsia="Garamond" w:hAnsi="Garamond"/>
        <w:color w:val="4A4A4A"/>
        <w:sz w:val="16"/>
        <w:szCs w:val="16"/>
      </w:rPr>
      <w:t xml:space="preserve">NIMBUS HEALTH AI INC. / ONTARIO HEALTH SCIENCES NETWORK</w:t>
    </w:r>
    <w:r>
      <w:rPr>
        <w:rFonts w:ascii="Garamond" w:cs="Garamond" w:eastAsia="Garamond" w:hAnsi="Garamond"/>
        <w:color w:val="4A4A4A"/>
        <w:sz w:val="16"/>
        <w:szCs w:val="16"/>
      </w:rPr>
      <w:t xml:space="preserve">    |    SCENARIO OVERVIEW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FD4" w:sz="2" w:space="4"/>
      </w:pBdr>
      <w:spacing w:after="60"/>
    </w:pPr>
    <w:r>
      <w:rPr>
        <w:rFonts w:ascii="Garamond" w:cs="Garamond" w:eastAsia="Garamond" w:hAnsi="Garamond"/>
        <w:color w:val="4A4A4A"/>
        <w:sz w:val="16"/>
        <w:szCs w:val="16"/>
      </w:rPr>
      <w:t xml:space="preserve">NIMBUS HEALTH AI INC. / ONTARIO HEALTH SCIENCES NETWORK</w:t>
    </w:r>
    <w:r>
      <w:rPr>
        <w:rFonts w:ascii="Garamond" w:cs="Garamond" w:eastAsia="Garamond" w:hAnsi="Garamond"/>
        <w:color w:val="4A4A4A"/>
        <w:sz w:val="16"/>
        <w:szCs w:val="16"/>
      </w:rPr>
      <w:t xml:space="preserve">    |    MUTUAL NON-DISCLOSURE AGREEMENT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FD4" w:sz="2" w:space="4"/>
      </w:pBdr>
      <w:spacing w:after="60"/>
    </w:pPr>
    <w:r>
      <w:rPr>
        <w:rFonts w:ascii="Garamond" w:cs="Garamond" w:eastAsia="Garamond" w:hAnsi="Garamond"/>
        <w:color w:val="4A4A4A"/>
        <w:sz w:val="16"/>
        <w:szCs w:val="16"/>
      </w:rPr>
      <w:t xml:space="preserve">NIMBUS HEALTH AI INC. / ONTARIO HEALTH SCIENCES NETWORK</w:t>
    </w:r>
    <w:r>
      <w:rPr>
        <w:rFonts w:ascii="Garamond" w:cs="Garamond" w:eastAsia="Garamond" w:hAnsi="Garamond"/>
        <w:color w:val="4A4A4A"/>
        <w:sz w:val="16"/>
        <w:szCs w:val="16"/>
      </w:rPr>
      <w:t xml:space="preserve">    |    MASTER SERVICE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aramond" w:cs="Garamond" w:eastAsia="Garamond" w:hAnsi="Garamond"/>
      <w:b/>
      <w:bCs/>
      <w:color w:val="005B6E"/>
      <w:sz w:val="24"/>
      <w:szCs w:val="24"/>
    </w:rPr>
  </w:style>
  <w:style w:type="paragraph" w:styleId="Heading2">
    <w:name w:val="Heading 2"/>
    <w:basedOn w:val="Normal"/>
    <w:next w:val="Normal"/>
    <w:qFormat/>
    <w:pPr>
      <w:spacing w:after="80" w:before="240"/>
      <w:outlineLvl w:val="1"/>
    </w:pPr>
    <w:rPr>
      <w:rFonts w:ascii="Garamond" w:cs="Garamond" w:eastAsia="Garamond" w:hAnsi="Garamond"/>
      <w:b/>
      <w:bCs/>
      <w:caps/>
      <w:color w:val="005B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2026-05-09T19:41:53.411Z</dcterms:created>
  <dcterms:modified xsi:type="dcterms:W3CDTF">2026-05-09T19:41:53.411Z</dcterms:modified>
</cp:coreProperties>
</file>

<file path=docProps/custom.xml><?xml version="1.0" encoding="utf-8"?>
<Properties xmlns="http://schemas.openxmlformats.org/officeDocument/2006/custom-properties" xmlns:vt="http://schemas.openxmlformats.org/officeDocument/2006/docPropsVTypes"/>
</file>