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36" w:lineRule="auto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36" w:lineRule="auto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20" w:after="40" w:line="336" w:lineRule="auto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36" w:lineRule="auto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36" w:lineRule="auto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六、空间扩展：厦漳泉都市圈协同的三市组合置换检验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人才供需匹配未必止于行政边界。为检验厦门、漳州、泉州是否存在都市圈协同，且避免小样本空间计量的设定争议，本文采用穷举置换检验：在 9 市任选 3 市的全部 C(9,3)=84 个组合中，看厦漳泉的区域协同表现是否高于多数随机组合。该法零新数据、不依赖空间权重矩阵。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6.1  区域指标的计算（人口加权聚合 + 手算示范）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三市输入：厦门 E=0.713、I=0.977、D=0.913、人口 535；漳州 E=0.126、I=0.033、D=0.254、人口 508；泉州 E=0.258、I=0.067、D=0.363、人口 891。总人口 P=1934。</w:t>
      </w:r>
    </w:p>
    <w:p>
      <w:pPr>
        <w:spacing w:before="60" w:after="20" w:line="336" w:lineRule="auto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E_组=(535×0.713+508×0.126+891×0.258)/1934 = 0.349；I_组=(535×0.977+508×0.033+891×0.067)/1934 = 0.310；C=0.998、T=0.330 → D_组=√(0.998×0.330)=0.574。含义：把三市视为一个区域整体时的耦合协调度。</w:t>
      </w:r>
    </w:p>
    <w:p>
      <w:pPr>
        <w:spacing w:before="40" w:after="20" w:line="336" w:lineRule="auto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mean(Dᵢ)=(0.913+0.254+0.363)/3 = 0.510 → RSP = 0.574−0.510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36" w:lineRule="auto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mean|Eᵢ−Iᵢ|=(|0.713−0.977|+|0.126−0.033|+|0.258−0.067|)/3=(0.264+0.092+0.191)/3 = 0.183；|E_组−I_组|=|0.349−0.310| = 0.039 → BI = 0.183−0.039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6.2  厦漳泉的检验结果</w:t>
      </w:r>
    </w:p>
    <w:p>
      <w:pPr>
        <w:spacing w:before="40" w:after="40" w:line="336" w:lineRule="auto"/>
      </w:pPr>
      <w:r>
        <w:rPr>
          <w:rFonts w:ascii="Songti SC" w:hAnsi="Songti SC" w:eastAsia="Songti SC"/>
          <w:b w:val="0"/>
          <w:sz w:val="21"/>
        </w:rPr>
        <w:t>对 84 组逐一计算上述三指标并各自排序，看厦漳泉组合的名次与分位：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厦漳泉排名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解读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D_组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区域整体协调度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 / 84（前58%）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中游——漳、泉低 D 拖累整体水平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RSP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区域协同溢价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53 / 84（前63%）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简单“组团提升”不突出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BI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均衡改善度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 / 84（前6%）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强信号——互补使供需更均衡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59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组三市组合中的均衡改善度（BI）排位（B口径，2024）。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19"/>
        </w:rPr>
        <w:t>厦漳泉在“整体水平（D_组）”与“简单协同溢价（RSP）”上仅居中游，但在“均衡改善度（BI）”上位列前 6%——厦门产业领先、泉漳教育与承接相对偏强，三市并区后教育—产业缺口显著缩小，呈现互补型都市圈协同信号。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结论边界（重要）：BI 高位组合普遍含厦门（前 10% 组合中厦门 8/8），故这是“厦门锚定的互补效应”；厦漳泉因地理邻近与产业链联系而具备现实都市圈基础、落在高均衡区，但置换检验只能提示协同信号、不能证明因果“抱团”，机制仍需跨市人才流动、企业合作与产业链数据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6.3  全样本一般结论（不限于厦漳泉）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把全部 84 组按“是否含核心市（福/厦）”“是否跨极（同时含教育领先与产业领先城市）”分组，对组内各组合的指标取“均值”——即该类所有组合的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0.186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0.290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0.035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0.290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均值为正(+0.040)、不跨极为负(−0.034，组团后反而更不均衡)——均衡改善来自“跨越教育领先↔产业领先”的配对，福州/厦门镜像不只是描述，而是区域协同的物理引擎。两类 RSP 几乎相同(0.122 vs 0.126) → RSP 不区分互补、BI 才区分。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七、稳健性与局限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36" w:lineRule="auto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