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教育—产业耦合协调的功能链测度与障碍诊断</w:t>
      </w:r>
    </w:p>
    <w:p>
      <w:pPr>
        <w:spacing w:after="80"/>
        <w:jc w:val="center"/>
      </w:pPr>
      <w:r>
        <w:rPr>
          <w:rFonts w:ascii="Heiti SC" w:hAnsi="Heiti SC" w:eastAsia="Heiti SC"/>
          <w:b/>
          <w:color w:val="378ADD"/>
          <w:sz w:val="26"/>
        </w:rPr>
        <w:t>——以福建省人工智能人才供需匹配为例</w:t>
      </w:r>
    </w:p>
    <w:p>
      <w:pPr>
        <w:spacing w:after="40"/>
        <w:jc w:val="center"/>
      </w:pPr>
      <w:r>
        <w:rPr>
          <w:rFonts w:ascii="Songti SC" w:hAnsi="Songti SC" w:eastAsia="Songti SC"/>
          <w:b w:val="0"/>
          <w:color w:val="555555"/>
          <w:sz w:val="20"/>
        </w:rPr>
        <w:t>【作者姓名】　【作者单位，城市　邮编】</w:t>
      </w:r>
    </w:p>
    <w:p>
      <w:pPr>
        <w:spacing w:after="200"/>
        <w:jc w:val="center"/>
      </w:pPr>
      <w:r>
        <w:rPr>
          <w:rFonts w:ascii="Songti SC" w:hAnsi="Songti SC" w:eastAsia="Songti SC"/>
          <w:b w:val="0"/>
          <w:color w:val="888888"/>
          <w:sz w:val="18"/>
        </w:rPr>
        <w:t>【基金项目：项目名称及编号（待补）】</w:t>
      </w:r>
    </w:p>
    <w:p>
      <w:pPr>
        <w:spacing w:line="360" w:lineRule="auto" w:after="80"/>
      </w:pPr>
      <w:r>
        <w:rPr>
          <w:rFonts w:ascii="Songti SC" w:hAnsi="Songti SC" w:eastAsia="Songti SC"/>
          <w:b/>
          <w:sz w:val="20"/>
        </w:rPr>
        <w:t>摘　要：</w:t>
      </w:r>
      <w:r>
        <w:rPr>
          <w:rFonts w:ascii="Songti SC" w:hAnsi="Songti SC" w:eastAsia="Songti SC"/>
          <w:b w:val="0"/>
          <w:sz w:val="20"/>
        </w:rPr>
        <w:t>人工智能人才的教育供给与产业需求能否在区域内匹配，是数字经济高质量发展的关键约束。本文将“教育—产业”关系解构为“供给规模—供给质量—产业承接—产业转化”四环节功能链，以耦合协调度（CCD）模型测度福建省 9 个设区市2019—2024 年的教育（E）—产业（I）耦合协调水平，并以障碍度模型诊断失调的关键环节。研究发现：①福建 AI 人才供需匹配呈显著的“双核—腹地”二元结构——福州、厦门达优质协调（D&gt;0.9），其余 7 市长期处于失调区间；②福州“教育领先”、厦门“产业领先”构成结构镜像，二者跨核互补最强；③腹地城市的失调多为“功能链整体发育不足”而非单点错配；④边界约束的区域组合检验表明，区域均衡改善主要来自“教育领先↔产业领先”的跨极配对，纯腹地城市彼此组团几乎不产生协同，提示腹地需接入核心而非“抱团取暖”。本文的边际贡献在于：将整体 CCD 拓展为功能链局部 CCD 以识别链节断裂，并以边界约束的穷举置换检验为区域协同提供可证伪的探索性证据。</w:t>
      </w:r>
    </w:p>
    <w:p>
      <w:pPr>
        <w:spacing w:line="360" w:lineRule="auto" w:after="200"/>
      </w:pPr>
      <w:r>
        <w:rPr>
          <w:rFonts w:ascii="Songti SC" w:hAnsi="Songti SC" w:eastAsia="Songti SC"/>
          <w:b/>
          <w:sz w:val="20"/>
        </w:rPr>
        <w:t>关键词：</w:t>
      </w:r>
      <w:r>
        <w:rPr>
          <w:rFonts w:ascii="Songti SC" w:hAnsi="Songti SC" w:eastAsia="Songti SC"/>
          <w:b w:val="0"/>
          <w:sz w:val="20"/>
        </w:rPr>
        <w:t>人工智能人才；教育—产业耦合；耦合协调度；障碍度诊断；功能链；福建省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英文题名、Abstract、Keywords 待译补；作者、单位、基金、JEL/中图分类号待补。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一、引言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数字经济的竞争，归根结底是人才的竞争。人工智能（AI）作为新一轮科技革命与产业变革的核心驱动力，对人才的数量与质量提出了双重要求；而人才的形成依赖教育系统的持续供给，人才的价值实现依赖产业系统的有效吸纳与转化。当教育供给与产业需求在结构、质量与空间上无法匹配时，便出现“有人无岗”或“有岗无人”的结构性错配，制约区域创新与产业升级。因此，刻画并诊断区域内“教育—产业”的匹配状态，是理解人才供需矛盾、制定差异化政策的前提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既有研究多从单侧（教育规模或产业需求）描述人才供需，较少将二者置于同一“系统协调”框架下进行可比测度，亦较少深入到“教育—产业”内部链节，回答“在哪一环节、以何种形式发生错配”。这导致政策建议常停留于“扩大供给”或“引进人才”的笼统层面，缺乏对失调结构的精准识别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福建省为观察上述问题提供了典型样本：省内既有福州、厦门两个高教与产业“双核”，又有教育与产业基础相对薄弱的广大腹地城市，且拥有宁德时代等具有全国影响力的 AI 相关产业主体，区域内部供需结构差异显著。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引言需补：①福建数字经济/AI 产业规模与人才缺口的权威数据来源（如省统计公报、工信部门或第三方人才报告）；②“人才供需结构性错配”命题的代表性文献 2—3 篇。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基于此，本文将“教育—产业”关系解构为“供给规模—供给质量—产业承接—产业转化”四环节功能链，以耦合协调度模型测度福建 9 市 2019—2024 年的 E—I 耦合协调水平，并以障碍度模型定位失调环节。在方法上做两点拓展：其一，将整体耦合协调度拓展为功能链链节之间的“局部耦合协调度”，以识别整体协调可能掩盖的链节断裂；其二，以“边界约束的区域组合穷举置换检验”，为城市群/都市圈层面的空间协同提供可证伪的探索性证据。本文余下结构为：第二节文献综述与理论分析，第三节研究设计，第四节实证结果，第五节稳健性检验，第六节结论与政策建议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二、文献综述与理论分析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2.1　人才供需匹配与产教融合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人才供需匹配与产教融合是本文的现实落点。已有讨论普遍指出，教育供给与产业需求之间存在结构性、质量性与空间性错配，产教融合的推进仍受制于校企利益协调机制不健全等因素。但相关研究多为政策分析与案例描述，量化测度区域“教育—产业”匹配程度、并诊断其失调来源的实证工作仍相对不足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就 AI 人才而言，人工智能对就业的结构性影响已有实证——谢萌萌等（2020）发现人工智能对制造业低技能就业的影响呈非线性特征</w:t>
      </w:r>
      <w:r>
        <w:rPr>
          <w:rFonts w:ascii="Songti SC" w:hAnsi="Songti SC" w:eastAsia="Songti SC"/>
          <w:b w:val="0"/>
          <w:color w:val="185FA5"/>
          <w:sz w:val="21"/>
        </w:rPr>
        <w:t>[9]</w:t>
      </w:r>
      <w:r>
        <w:rPr>
          <w:rFonts w:ascii="Songti SC" w:hAnsi="Songti SC" w:eastAsia="Songti SC"/>
          <w:b w:val="0"/>
          <w:sz w:val="21"/>
        </w:rPr>
        <w:t>；数字经济发展水平的测度与障碍因子诊断亦有探索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。但聚焦“AI 人才”的教育供给与产业需求匹配、并下沉到功能链环节的量化诊断仍显不足。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2.1 仍需补：人才供需匹配/技能错配测度 2—3 篇；产教融合/教育—产业协同的定量实证 2—3 篇（须经 CNKI 核出完整出处后引用）。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2.2　耦合协调度模型及其应用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耦合协调度（Coupling Coordination Degree, CCD）模型源于物理学耦合概念，廖重斌（1999）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以珠江三角洲为例，建立了环境与经济协调发展的定量评判及分类体系，奠定了国内 CCD 的基本范式；此后该模型被广泛用于两系统乃至多系统的协调测度。针对其在应用中的常见偏误，王淑佳等（2021）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系统梳理了国内耦合协调度模型的“四类误区”并给出修正建议，为规范使用提供了依据。近年亦有研究将 CCD 用于子系统的两两配对诊断——如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对经济—社会—基础设施—生态四个韧性子系统构造六个二元 CCD 以识别其互配关系，为“局部耦合协调”提供了先例。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在教育领域，CCD 亦有应用——蔡文伯等（2022）以耦合协调度测度成渝地区双城经济圈高等教育—科技创新—经济发展的动态协同</w:t>
      </w:r>
      <w:r>
        <w:rPr>
          <w:rFonts w:ascii="Songti SC" w:hAnsi="Songti SC" w:eastAsia="Songti SC"/>
          <w:b w:val="0"/>
          <w:color w:val="185FA5"/>
          <w:sz w:val="21"/>
        </w:rPr>
        <w:t>[8]</w:t>
      </w:r>
      <w:r>
        <w:rPr>
          <w:rFonts w:ascii="Songti SC" w:hAnsi="Songti SC" w:eastAsia="Songti SC"/>
          <w:b w:val="0"/>
          <w:sz w:val="21"/>
        </w:rPr>
        <w:t>，为本文将 CCD 用于“教育—产业”场景提供了直接参照。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在失调来源的诊断上，障碍度模型常与 CCD 配合使用，通过各指标对协调水平的“偏离贡献”识别关键短板；该方法已被广泛应用于多领域诊断——如王彦杰等（2022）以熵值法赋权、障碍度模型诊断我国数字经济发展的主要障碍因子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2.2 可选补强：障碍度模型与熵值法的方法学奠基出处（本文暂以其规范应用文献为引）。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2.3　文献述评与本文定位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综上，既有研究为本文提供了方法基础与现实背景，但仍存三点可拓展空间：其一，多停留于“系统对系统”的整体协调，较少深入功能链内部、识别具体断裂的链节；其二，对 min-max 标准化在区域极值悬殊时对腹地诊断的“压缩效应”缺乏自觉处理；其三，城市群/都市圈层面的“空间协同”多为定性判断，缺乏可证伪的统计参照。本文针对性地以功能链局部 CCD、双轨障碍诊断与边界约束置换检验回应上述三点。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2.4　理论框架：四环节功能链与（拟纳入的）金融调节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将“教育—产业”人才匹配视为一条功能链：教育系统先以“供给规模”培养人才存量，再以“供给质量”决定人才的层次；产业系统先以“产业承接”吸纳人才就业，再以“产业转化”将人才转化为创新产出。四环节首尾相连，任一环节的薄弱都会沿链条传导，形成区域人才供需的整体协调或局部断裂。教育（E）由“供给规模、供给质量”合成，产业（I）由“产业承接、产业转化”合成，二者的耦合协调度刻画区域 AI 人才供需的总体匹配水平。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需要说明的是，金融（F）作为撬动教育投入与产业投资的要素，理论上对 E—I 耦合具有调节作用。</w:t>
      </w:r>
      <w:r>
        <w:rPr>
          <w:rFonts w:ascii="Songti SC" w:hAnsi="Songti SC" w:eastAsia="Songti SC"/>
          <w:b w:val="0"/>
          <w:color w:val="555555"/>
          <w:sz w:val="21"/>
        </w:rPr>
        <w:t>本文为“测度与诊断”定位，实证部分聚焦 E—I 耦合与障碍诊断，金融调节作为后续因果识别工作（另文）的研究对象，此处仅在框架中标明、不作经验估计，以免超出本文数据所能支撑的结论范围。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三、研究设计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3.1　指标体系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依据四环节功能链构建指标体系（表 1）。考虑“AI 人才”口径的模糊性，本文设置严格嵌套的三口径（C⊂B⊂X）：C 为 AI 直接命名专业（人工智能、智能科学与技术、数据科学与大数据技术），B 在 C 基础上加入计算机科学与技术、软件工程等基础专业群（主口径），X 进一步纳入电子信息、自动化、智能制造等交叉群；专利端按 IPC 前缀对应嵌套。除供给质量（项目点计数）外，各指标以全市常住人口人均化，使其度量“人均强度”而非城市规模。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15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子系统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测度指标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数据来源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处理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供给规模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AI 相关专业本专科招生数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各校招生章程/计划（逐校核）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供给质量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国家级/省级一流本科专业建设点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教育部/省教育厅公开名单（逐条核验）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容量（非人均）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产业承接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信息传输、软件业城镇单位从业人员（门类 I）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各市统计年鉴（官方核验）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产业转化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企业 AI/数字技术专利申请量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专利数据库（IPC 检索）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1　四环节功能链指标体系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3.2　数据来源、时间口径与缺失处理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样本为福建 9 设区市 2019—2024 年面板。供给质量的时间口径采“认定年起、存量持续”计法：某一流本科专业建设点自其获批（认定）年起在其后各年持续计入（每年只计其自身权重一次，不滚动累加），依据为一流专业“双万计划”（2019—2021 三批）</w:t>
      </w:r>
      <w:r>
        <w:rPr>
          <w:rFonts w:ascii="Songti SC" w:hAnsi="Songti SC" w:eastAsia="Songti SC"/>
          <w:b w:val="0"/>
          <w:color w:val="185FA5"/>
          <w:sz w:val="21"/>
        </w:rPr>
        <w:t>[7]</w:t>
      </w:r>
      <w:r>
        <w:rPr>
          <w:rFonts w:ascii="Songti SC" w:hAnsi="Songti SC" w:eastAsia="Songti SC"/>
          <w:b w:val="0"/>
          <w:sz w:val="21"/>
        </w:rPr>
        <w:t>系“建设”属性、认定后全周期持续监测、仅对严重质量不达标者动态撤销</w:t>
      </w:r>
      <w:r>
        <w:rPr>
          <w:rFonts w:ascii="Songti SC" w:hAnsi="Songti SC" w:eastAsia="Songti SC"/>
          <w:b w:val="0"/>
          <w:color w:val="185FA5"/>
          <w:sz w:val="21"/>
        </w:rPr>
        <w:t>[6]</w:t>
      </w:r>
      <w:r>
        <w:rPr>
          <w:rFonts w:ascii="Songti SC" w:hAnsi="Songti SC" w:eastAsia="Songti SC"/>
          <w:b w:val="0"/>
          <w:sz w:val="21"/>
        </w:rPr>
        <w:t>——故认定即确立可持续的质量信号，而非待验收方计。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数据处理遵循“缺失不填 0、不插值、不外推”的原则；仅在“全省锚可得 + 单一年份”的条件下作定锚回推（如人口2019 年口径断点、个别市个别年份产业承接的定锚回推），并将其纳入稳健性起点而非主结论依据。专利数据经去重、剔除高校与个人申请、按 IPC 分类与第一申请人地址归市后入账。完备性核查对“零命中”单元生成真零核查单逐一复核（如经核宁德师范学院 2019—2021 三批省级一流名单确无 AI/计算机类专业入选，系真零而非缺失）。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3.3　测度方法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（1）耦合协调度。教育与产业的耦合协调度为 D=√(C·T)，其中耦合度 C=2√(E·I)/(E+I) 测两系统的同步性、综合发展度 T=(E+I)/2 测整体水平；D∈[0,1]，越大越协调。该形式与廖重斌（1999）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及王淑佳等（2021）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厘定的规范公式一致，并通过其“四类误区”自检。E、I 各由其两环节等权合成；环节值先按 C/B/X 口径在全样本（9 市 × 6 年）上作 min-max 标准化。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（2）障碍度诊断。对四环节，以“偏离度”v_k 的归一化份额衡量其对失调的贡献：障碍度份额 = (1−v_k)/Σ(1−v_j)，份额最大者即主障碍环节。等权设定下 1/4 在归一化中相互抵消，不影响份额排序。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（3）局部耦合协调度。为识别整体协调可能掩盖的链节断裂，本文对四环节两两构造“局部 CCD”（公式同上），主文取理论意义最强的四组：D₁₂（教育内部）、D₃₄（产业内部）、D₁₃（数量供需）、D₂₄（质量转化），其余两对（D₁₄、D₂₃）入附录以做满 C(4,2)=6 对，与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的两两 CCD 思路一致。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4）边界约束的区域组合检验。区域协同不应在任意城市组合上比较，而须先确定“边界”（行政/规划/地理相邻），再在其同规模的全部随机组合中比较——这构成一个随机化（置换）检验：以“同规模全部城市组合”为零分布、以“该边界组合与随机组合无异”为原假设 H₀，其排名分位即置换检验经验 p 值的类比；先定边界再比较亦满足可变面积单元问题（MAUP）的要求</w:t>
      </w:r>
      <w:r>
        <w:rPr>
          <w:rFonts w:ascii="Songti SC" w:hAnsi="Songti SC" w:eastAsia="Songti SC"/>
          <w:b w:val="0"/>
          <w:color w:val="185FA5"/>
          <w:sz w:val="21"/>
        </w:rPr>
        <w:t>[4]</w:t>
      </w:r>
      <w:r>
        <w:rPr>
          <w:rFonts w:ascii="Songti SC" w:hAnsi="Songti SC" w:eastAsia="Songti SC"/>
          <w:b w:val="0"/>
          <w:sz w:val="21"/>
        </w:rPr>
        <w:t>，空间连续性约束的区域化思想亦见诸 Assunção 等（2006）</w:t>
      </w:r>
      <w:r>
        <w:rPr>
          <w:rFonts w:ascii="Songti SC" w:hAnsi="Songti SC" w:eastAsia="Songti SC"/>
          <w:b w:val="0"/>
          <w:color w:val="185FA5"/>
          <w:sz w:val="21"/>
        </w:rPr>
        <w:t>[5]</w:t>
      </w:r>
      <w:r>
        <w:rPr>
          <w:rFonts w:ascii="Songti SC" w:hAnsi="Songti SC" w:eastAsia="Songti SC"/>
          <w:b w:val="0"/>
          <w:sz w:val="21"/>
        </w:rPr>
        <w:t>。区域聚合采人口加权；定义协同溢价 RSP=D_组−mean(D_i)、均衡改善度 BI=mean|E_i−I_i|−|E_组−I_组|，以 BI 为协同互补主指标。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3.4　识别立场与本文 claim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本文为描述—测度性研究，明确不作因果宣称。原因有二：其一，教育（E）与产业（I）之间存在双向因果——教育因产业需求而扩张、产业亦向人才富集地集聚——任何单方程估计都难逃联立内生；其二，9 个设区市的样本量不足以支撑可信的因果识别。故本文克制于“把事实测准、把结构刻清”，将因果识别留待以现代产业学院等政策冲击为基础的后续研究（另文）。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，本文严格主张的是三类“可被证伪的典型事实”——双核—腹地的二元结构、整体协调所掩盖的链节断裂、区域协同对“边界”的依赖——而非任何因果效应。相应地，测度类研究的效度威胁不在“内生性”（无待估系数可言内生），而在</w:t>
      </w:r>
      <w:r>
        <w:rPr>
          <w:rFonts w:ascii="Songti SC" w:hAnsi="Songti SC" w:eastAsia="Songti SC"/>
          <w:b/>
          <w:sz w:val="21"/>
        </w:rPr>
        <w:t>构念效度与测量效度</w:t>
      </w:r>
      <w:r>
        <w:rPr>
          <w:rFonts w:ascii="Songti SC" w:hAnsi="Songti SC" w:eastAsia="Songti SC"/>
          <w:b w:val="0"/>
          <w:sz w:val="21"/>
        </w:rPr>
        <w:t>：零值地板、min-max 压缩、可变面积单元问题（MAUP）、口径选择。本文以双轨障碍、熵值法、多种耦合形式与三口径嵌套加以处理（见第五节），并对“是否超出随机”的判断采用置换检验作形式化推断（见 4.5）。凡涉及机制与因果者，本文仅作假设提出、不下断言，并在第六节给出面向后续因果识别的可检验假设。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四、实证结果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　总体格局：“双核—腹地”二元结构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229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9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　福建 9 市教育—产业耦合协调度热力图（B 口径，2019—2024）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图 1 显示，福州、厦门 2024 年耦合协调度达 0.91 以上（优质协调），其余 7 市长期低于 0.4（失调区间），呈鲜明的“双核—腹地”二元结构。腹地城市中，泉州（0.36）相对最高，宁德（0.16）最低。从时序看，双核保持高位稳定，莆田等市则呈下滑（如莆田由 2020 年的 0.35 降至 2024 年的 0.26），与其招生规模收缩相关。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　E—I 结构与双核镜像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93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9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　E-I 结构与双核镜像（B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将各市置于 E—I 平面（图 2）可见双核的结构性差异：福州偏“教育领先”（E&gt;I），厦门偏“产业领先”（I&gt;E），二者构成关于均衡线的镜像。腹地 7 市则聚集于原点附近的“双低”区域，教育与产业供给同步偏弱。这一镜像结构是后文“跨核互补”最强的微观基础。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4.3　障碍度诊断与压缩效应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352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　障碍度四环节构成（B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障碍度分解（图 3）显示双核的相对短板各异（福州在产业转化、厦门在教育内部相关环节），与其镜像结构呼应。但须警惕方法假象：由于福州、厦门占据 min-max 标准化的上界，腹地城市被压缩进区间底部，其四环节偏离度皆趋近 1、障碍份额机械地皆趋近 25%。因此本文以四环节标准化值的“极差”作为障碍可辨性指标——极差&lt;0.08 的城市（龙岩、三明、南平）四环节同步贴近地板、无显著单一卡点，其“主障碍”应判为弱信号，“各占 25%”本身即是“四环节同步发育不足”的发现，而非可分解的结构性偏科。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4.4　功能链局部断裂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50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　整体 CCD 与四组功能链局部 CCD（B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局部 CCD（图 5）进一步揭示整体协调所掩盖的链节结构：双核“全链协调”、无明显断裂；泉州呈“局部优势·总体低位”，其教育内部 D₁₂（0.51）明显高于其他链节，即“教育端内部尚协调、但产业接不住”，是可培育的突破口；龙岩、三明、南平四组局部 CCD 同步低位，印证其失调系功能链整体发育不足。需要特别区分两类“零值断裂”：宁德供给质量为真零（经核确无 AI 类一流），其含质量链节 D₁₂、D₂₄=0 系真实的质量缺失；而莆田原亦为 0，经补入其 2020 年获批的计算机省级一流后已非零（D₁₂=0.29、D₂₄=0.20），属此前的数据缺口而非结构断裂——提示“质量链节为 0”须先甄别“真零/缺失”再作解读。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4.5　空间协同的边界约束检验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1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　厦漳泉在 84 组三市组合（同规模安慰剂分布）中的均衡改善度（BI）排位（B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把同规模的全部城市组合作为随机化零分布，每个现实边界组合的排名分位即“其协同表现是否超出随机”的经验 p 值（图 4）。由此三种协同类型获得形式化推断：福州—厦门“跨核互补”的 D_S 与 BI 均列两市组合第 1（经验 p≈0.03），结构互补最强（但二者非地理相邻，定位为理论互补对照）；厦漳泉“互补型都市圈”BI 居前 7%（经验 p≈0.07，在 10% 水平上拒绝“与随机组合无异”的原假设），厦门产业领先叠加泉漳教育/承接相对偏强，使并区后供需缺口缩小；福州都市圈、闽东北“带动型”RSP 居同规模前 2—5%（经验 p≈0.05、0.02），由福州高水平拉动，但 BI 中低、互补不强。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零分布本身亦给出可证伪的一般规律：含核心市（福/厦）组合的 D_组均值（0.696）约为纯腹地组合（0.292）的 2.4 倍，纯腹地组合 BI 均值≈0（彼此组团几乎不产生均衡改善，最高 D_组仅 0.352、仍失调）；跨极（同时含教育领先与产业领先城市）组合 BI 均值为正、不跨极为负。这为“腹地弱联动”提供反事实式证据：均衡改善来自“跨越教育领先↔产业领先”的镜像配对，腹地需接入核心而非“抱团取暖”。</w:t>
      </w:r>
    </w:p>
    <w:p>
      <w:pPr>
        <w:spacing w:before="40" w:after="80" w:line="360" w:lineRule="auto"/>
        <w:ind w:firstLine="400"/>
        <w:jc w:val="both"/>
      </w:pPr>
      <w:r>
        <w:rPr>
          <w:rFonts w:ascii="Songti SC" w:hAnsi="Songti SC" w:eastAsia="Songti SC"/>
          <w:b w:val="0"/>
          <w:color w:val="555555"/>
          <w:sz w:val="20"/>
        </w:rPr>
        <w:t>claim 边界（重要）：置换检验回答的是“观测到的协同是否超出随机组合”，属随机化推断而非因果识别——它排除了“纯属偶然”，但不排除“选择性聚合”等机制。区域协同的因果效应仍需以政策冲击与跨市人才流动、企业合作数据另文识别（见第六节可检验假设）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五、稳健性检验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本文从四方面检验主结论的稳健性（详细数值见《数据与检验》技术附件）。①双轨障碍诊断：在剔除福厦、于腹地7 市组内重新标准化后重算障碍度，腹地内部相对短板的方向与全样本基本一致，缓解了压缩效应对腹地诊断的干扰；②客观赋权：以熵值法替代等权重算 2024 年 D，双核稳居前 2、9 市排名仅中段小幅重排；③耦合度形式：以 ε 下限（[0.01,1]，缓解零值地板）与平方式耦合度 4EI/(E+I)²（张等 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替代主模型重算，双核在三种形式下均居前 2、与主模型的 Spearman 秩相关达 0.983；④边界置换：现实边界组合的协同结论在同规模安慰剂分布中稳健。综合可见，“双核—腹地”格局对权重与耦合度形式选择稳健。本文方法亦通过王淑佳等（2021）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提出的“四类误区”自检。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六、结论与政策建议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本文以四环节功能链测度并诊断了福建省 AI 人才的教育—产业耦合协调。主要结论：①福建 AI 人才供需匹配呈“双核—腹地”二元结构，双核优质协调、腹地长期失调；②福州“教育领先”、厦门“产业领先”构成镜像，跨核互补最强；③腹地失调多为功能链整体发育不足而非单点错配，且彼此组团难以自我协同；④区域均衡改善源于“教育领先↔产业领先”的跨极配对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提出差异化政策建议：其一，双核应强化“跨核互补”，推动福州的教育优势与厦门的产业优势对接（如联合培养、产业飞地），而非各自重复布局；其二，腹地城市不宜“抱团取暖”，应优先接入核心都市圈、承接其溢出，同时针对其“整体发育不足”采取“基础设施 + 基础专业 + 基础产业”的整链培育；其三，对供给质量为真零的城市（如宁德），应以引进或共建一流专业建设点补质量短板，避免“有规模无质量”的扩张型供给。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面向因果识别的可检验假设：本文的典型事实可直接转写为后续可证伪的因果命题，供以政策冲击识别（另文）——H1（产教融合的因果效应）：现代产业学院的设立显著提升受影响高校/地区的人才供给质量与产教匹配，可用其分批获批构造交叠 DiD 与事件研究检验；H2（金融的调节）：上述效应在金融发展水平更高的地区更强，可用三重差分检验；H3（核心—腹地异质）：政策效应对腹地城市更大抑或被双核虹吸，存在结构异质，可分组检验。三者均以现代产业学院获批名单、高校层面供给与毕业生匹配数据为识别基础，并以平行趋势、安慰剂与选择性偏误校正（PSM/交叠稳健估计量）保证可信度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本文的局限与展望：①金融调节未纳入实证，后续将以教育政策冲击构建准实验、识别金融对 E—I 耦合的因果调节（另文）；②专利数据存在轻微右截断，最末 1—2 年的产业转化宜谨慎解读；③min-max 标准化的零值地板与压缩效应已以双轨与多形式稳健性缓解，但仍是测度的内在限制；④边界组合检验为探索性，因果协同有待流动数据验证；⑤供给质量复合目前仅含一流专业成分，学位点等成分待补后将进一步细化教育质量刻画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参考文献</w:t>
      </w:r>
    </w:p>
    <w:p>
      <w:pPr>
        <w:spacing w:before="40" w:after="80" w:line="360" w:lineRule="auto"/>
        <w:ind w:firstLine="360"/>
        <w:jc w:val="both"/>
      </w:pPr>
      <w:r>
        <w:rPr>
          <w:rFonts w:ascii="Songti SC" w:hAnsi="Songti SC" w:eastAsia="Songti SC"/>
          <w:b w:val="0"/>
          <w:color w:val="888888"/>
          <w:sz w:val="18"/>
        </w:rPr>
        <w:t>（仅列已核实条目；正文中以【待补】标注处，待经 CNKI/期刊原文核出完整出处后补入，本稿不以未核实文献充数。）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[1] 廖重斌. 环境与经济协调发展的定量评判及其分类体系——以珠江三角洲城市群为例[J]. 热带地理, 1999, 19(2): 171-177.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[2] 王淑佳, 孔伟, 任亮, 等. 国内耦合协调度模型的误区及修正[J]. 自然资源学报, 2021, 36(3): 793-810.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[3] Zhang M, Hu Y, Mao Y, et al. 经济—社会—基础设施—生态韧性系统的耦合协调研究：以浙江省为例[J]. PLOS ONE, 2025. doi:10.1371/journal.pone.0323673.（题名以原文为准）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[4] Openshaw S. The Modifiable Areal Unit Problem[M]. Norwich: GeoBooks, 1984.（Concepts and Techniques in Modern Geography, No.38）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[5] Assunção R M, Neves M C, Câmara G, et al. Efficient regionalization techniques for socio-economic geographical units using minimum spanning trees[J]. International Journal of Geographical Information Science, 2006, 20(7): 797-811.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[6] 教育部, 财政部, 国家发展改革委. “双一流”建设成效评价办法（试行）[Z]. 2021.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[7] 教育部办公厅. 关于实施一流本科专业建设“双万计划”的通知（教高厅函〔2019〕18号）[Z]. 2019.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[8] 蔡文伯, 赵志强, 喻雪. 成渝地区双城经济圈高等教育—科技创新—经济发展动态耦合协同研究[J]. 西南大学学报（社会科学版）, 2022, 48(1): 130-143.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[9] 谢萌萌, 夏炎, 潘教峰, 郭剑锋. 人工智能、技术进步与低技能就业——基于中国制造业企业的实证研究[J]. 中国管理科学, 2020, 28(12): 54-66.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[10] 王彦杰, 高启杰, 杨瑞. 我国数字经济发展水平测度及障碍因子诊断研究[J]. 现代管理科学, 2022(3).（页码待补核）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已补入并核实（见上 [8]—[10]）：CCD 教育应用[8]、AI 就业效应[9]、障碍度模型与熵值法应用[10]。尚需补充（务必核出完整出处后再引）：①人才供需匹配/技能错配测度；②产教融合/教育—产业协同定量实证；③福建数字经济/AI 产业与人才缺口的权威数据来源（脚注用）；④[10] 的起止页码待核补。</w:t>
      </w:r>
    </w:p>
    <w:p>
      <w:pPr>
        <w:spacing w:before="200" w:after="80" w:line="360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（论文初稿 · 2026-06-25 · 数值取自管道实跑结果，与《数据与检验》技术附件一致；参考文献仅列已核实条目，未核实处以【待补】标注，绝不杜撰。）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