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标准化对腹地城市障碍分解的压缩效应及其修正。进一步以功能链局部耦合检验识别链节断裂，以边界约束的区域组合检验识别空间协同类型（跨核互补、互补型与带动型都市圈）。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耦合协调度（廖重斌，1999）：D=√(C·T)，其中耦合度 C=2√(E·I)/(E+I) 衡量 E、I 的协同程度，综合发展水平 T=(E+I)/2 衡量整体高度；D∈[0,1]，任一指数为 0 标“不可计算”，不参与等级与路径分类。该二元耦合度形式（含系数 2、E=I 时 C=1）与王淑佳等（2021）厘定的规范公式一致，亦通过其“四类误区”自检。</w:t>
      </w:r>
    </w:p>
    <w:p>
      <w:pPr>
        <w:spacing w:before="6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4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93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9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0.260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974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障碍份额机械地皆≈25%，其“主障碍”由第三位小数决定，本质为噪声。（min-max 因时空范围影响标准化、产生可比性限制，以及子系统全取最小值时标准化为 0 的零值问题，王淑佳等（2021）亦有论及。）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卡供给质量、莆田卡产业转化等），但其“份额量值”受 min-max 压缩、不宜过度解读。</w:t>
      </w:r>
    </w:p>
    <w:p>
      <w:pPr>
        <w:spacing w:before="12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修正落地——双轨障碍诊断（数据处理）：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第①步，取四环节人均值（供给规模/产业承接/产业转化÷常住人口；供给质量为计数）。第②步（轨A·全样本）：在全 9 市×6 年共 54 个单元上对每个环节做 min-max，得 vₖᴬ，衡量“该市离全省前沿的差距”。第③步（轨B·腹地组内）：剔除福州、厦门，仅在腹地 7 市×6 年共 42 个单元上对每个环节重新 min-max，得 vₖᴮ，衡量“腹地城市彼此之间的相对短板”。第④步：两轨各自代入同一障碍度公式(1−vₖ)/Σ(1−vⱼ)，得各自主障碍。轨B 因剔除了双核极值，腹地四环节不再被压到地板，标准化值极差大幅放大。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检验过程：逐市比较轨A 与轨B 的主障碍是否一致——一致则该市诊断稳健（两种基准都指向同一短板）；不一致则说明其主障碍受标准化基准影响，须分别表述。下表同时列两轨主障碍与极差（极差越大、主障碍越可辨）。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0.133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耦合度逐年下滑（0.345→0.260），与其招生规模 2021 年后收缩一致；补入莆田学院 2020 年计算机省级一流后，供给质量不再为 0，主障碍转为产业转化。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5.5  权重稳健性：等权与熵值法对照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</w:t>
      </w:r>
    </w:p>
    <w:p>
      <w:pPr>
        <w:spacing w:before="4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熵值法权重的数据处理（按环节 j 逐列计算）：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第①步，取该环节在全样本 54 个单元的标准化值 vᵢ。第②步，归一为比重 pᵢ = vᵢ / Σᵢvᵢ。第③步，算信息熵 eⱼ = −(1/ln n)·Σᵢ pᵢ·ln pᵢ（n=54；约定 pᵢ=0 时该项为 0）——某环节城际差异越小，熵越大。第④步，算信息效用 dⱼ = 1−eⱼ（差异越大、效用越大）。第⑤步，归一为权重 wⱼ = dⱼ / Σⱼdⱼ。所得四环节熵权如下表。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0.295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以熵权重算 2024 年 D：双核（福州、厦门）在两种权重下均稳居前 2，9 市排名仅中段（5—7 名）的漳州、莆田、三明小幅重排、双核与首尾不变（福州 0.936→0.934、厦门 0.913→0.925）。结论：双核—腹地格局对权重选择稳健，等权法作主模型成立。熵值法下供给规模权重偏低、供给质量/产业转化偏高，源于福厦在后两者上离散度更大——故熵值法宜作稳健性而非唯一主模型。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六、功能链局部耦合检验：整体协调是否掩盖链节断裂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整体 E-I 耦合协调度反映系统总体匹配，却可能掩盖功能链内部链节之间的断裂或遮蔽。CCD 本质是测两个子系统的协调；将其用于子系统两两配对（pairwise CCD）已有先例——张等（2025）即对四个韧性子系统构造六个二元 CCD 诊断其互配。本文据此对四环节两两构造“局部耦合协调度”，识别哪两个环节之间错配。公式同整体 CCD：D_ab=√(K·T)，K=2√(vₐ·v_b)/(vₐ+v_b)（同步度）、T=(vₐ+v_b)/2（综合水平）。主文取四组理论意义最强的链节（其余两对 D₁₄、D₂₃ 见本节末附录，与张等做满 C(4,2)=6 对对齐）：</w:t>
      </w:r>
    </w:p>
    <w:p>
      <w:pPr>
        <w:spacing w:before="2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D₁₂=CCD(供给规模, 供给质量)——教育内部：是否既有培养规模又有培养质量；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D₃₄=CCD(产业承接, 产业转化)——产业内部：是否既能吸纳人才又能转化为创新；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D₁₃=CCD(供给规模, 产业承接)——数量供需：本地培养的人才规模能否被本地产业接住；</w:t>
      </w:r>
    </w:p>
    <w:p>
      <w:pPr>
        <w:spacing w:before="0" w:after="4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D₂₄=CCD(供给质量, 产业转化)——质量转化：高质量教育供给能否支撑本地创新转化。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472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7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  整体 CCD 与四组功能链局部 CCD（B口径，2024）。竖线左为整体 D，右为四组局部链节。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79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10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整体D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D₁₂教育内部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D₃₄产业内部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D₁₃数量供需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D₂₄质量转化</w:t>
            </w:r>
          </w:p>
        </w:tc>
        <w:tc>
          <w:tcPr>
            <w:tcW w:type="dxa" w:w="237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分型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0.874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0.835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0.988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0.856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0.964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0.506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0.361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0.362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局部优势·总体低位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0.340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0.261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0.207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0.177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0.151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0.318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0.204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0.185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0.146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</w:tbl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果与解读：①双核“全链协调”、无明显断裂——但相对薄弱链节恰与障碍度呼应：福州最弱在产业内部（D₃₄=0.874）、厦门最弱在教育内部（D₁₂=0.835），说明其高协调并非掩盖断裂的假象。②泉州“局部优势·总体低位”：教育内部 D₁₂=0.506明显高于其余链节，即“教育端内部尚协调、但产业接不住”，是可培育的突破口。③宁德的 D₁₂、D₂₄=0——因其供给质量标准化值为 0（无一流专业），凡含质量的链节即“断裂”（此为 CCD 零值地板，须注明系“质量链节缺失”而非负向错配；莆田原同此，经补入其莆田学院 2020 年计算机省级一流后已非零，D₁₂=0.293、D₂₄=0.204）。④龙岩、三明、南平四组局部 CCD 同步低位（“全链低位”），印证其失调是功能链整体发育不足、而非单点错配。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稳健性（腹地组内双轨）：剔除福厦、在腹地 7 市内部重标后重算局部 CCD，可恢复被压缩掩盖的腹地链节结构——泉州最弱仍为产业内部、漳州最弱为数量供需（D₁₃，因供给规模过低）、龙岩与南平最弱为教育内部。说明腹地“全链低位”之下，各市仍有可识别的相对短板链节，但其量值受 min-max 压缩、宜结合双轨解读。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与障碍度的关系：障碍度回答“哪个环节是最短板（单点）”，局部 CCD 回答“哪两个环节之间断裂（链节）”，二者互补。例：障碍度示福州主障碍为产业转化，局部 CCD 进一步显示其产业内部 D₃₄ 相对最低——福州的问题不止于产业转化单点，而是“承接—转化”产业内部链节尚未完全打通。</w:t>
      </w:r>
    </w:p>
    <w:p>
      <w:pPr>
        <w:spacing w:before="60" w:after="40" w:line="348" w:lineRule="auto"/>
        <w:jc w:val="both"/>
      </w:pPr>
      <w:r>
        <w:rPr>
          <w:rFonts w:ascii="Songti SC" w:hAnsi="Songti SC" w:eastAsia="Songti SC"/>
          <w:b w:val="0"/>
          <w:sz w:val="18"/>
        </w:rPr>
        <w:t>附：其余两对链节（理论意义较弱，列此以补足 C(4,2)=6 对）——D₁₄ 规模—转化、D₂₃ 质量—承接（2024，B口径）。结论与主文一致：双核高、腹地低；宁德 D₂₃=0 因供给质量缺失（莆田经补一流后 D₂₃=0.217）。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D₁₄ 规模—转化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D₂₃ 质量—承接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0.866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0.953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0.339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0.267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0.245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0.217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0.173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0.224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</w:tr>
    </w:tbl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七、空间扩展：基于边界约束的区域组合协同检验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“双核—腹地”是按行政市的静态分化，但 AI 人才供需匹配未必止于行政边界。然而空间协同须以现实边界为前提——任意自由组合即使指标上协调度高，缺乏地理或功能联系也难解释为真实协同（可变空间单元问题 MAUP，Openshaw，1984；空间连续性约束下的区域化思想，Assunção 等，2006）。故本文采用“边界约束的区域组合检验”：以有现实依据的组合为主检验对象，全部随机组合仅作安慰剂参照分布。边界依据三类——A 地理邻接；B 既有规划（福建省级闽东北/闽西南协同发展区、福州都市圈、厦漳泉）；C 理论互补（福州—厦门双核镜像，非地理邻接但结构互补）。该法零新数据、不依赖空间权重矩阵。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7.1  区域指标的计算（人口加权聚合 + 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对每个三市组合，将三市并为一个区域，按人口加权聚合区域指数（pᵢ 为城市常住人口）：E_组 = Σpᵢ·Eᵢ / Σpᵢ，I_组 = Σpᵢ·Iᵢ / Σpᵢ。用人口加权而非简单平均，是因为对人均化环节，人口加权平均恰好等于“三市合并后的人均值”（min-max 为线性变换，Σpᵢvᵢ/Σpᵢ = mm(Σcount/Σpop)），且沿用 9 市原 min-max 基准，故 D_组 与单市 Dᵢ 同尺度可比。下以厦漳泉 2024 为例逐步算三指标。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三市输入（取 4 位小数以便复核）：厦门 E=0.7127、I=0.9768、D=0.9135、人口 535；漳州 E=0.1257、I=0.0333、D=0.2544、人口 508；泉州 E=0.2584、I=0.0670、D=0.3627、人口 891。总人口 P=1934。</w:t>
      </w:r>
    </w:p>
    <w:p>
      <w:pPr>
        <w:spacing w:before="6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① 区域协调度 D_组 = √(C·T)，其中 C=2√(E_组·I_组)/(E_组+I_组)、T=(E_组+I_组)/2：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E_组=(535×0.7127+508×0.1257+891×0.2584)/1934 = 0.3492；I_组=(535×0.9768+508×0.0333+891×0.0670)/1934 = 0.3098；C=0.9982、T=0.3295 → D_组=√(0.9982×0.3295)=0.5735。含义：把三市视为一个区域整体时的耦合协调度。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② 区域协同溢价 RSP = D_组 − mean(Dᵢ)：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mean(Dᵢ)=(0.9135+0.2544+0.3627)/3 = 0.5102 → RSP = 0.5735−0.5102 = +0.063。含义：组团后的协调度，比三市“各自单干的平均水平”高多少；&gt;0 表示组团优于单市平均。注意：强市配弱市也会把该值抬高，故 RSP 含“带动”成分，非纯互补。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③ 均衡改善度 BI = mean(|Eᵢ−Iᵢ|) − |E_组−I_组|：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mean|Eᵢ−Iᵢ|=(|0.7127−0.9768|+|0.1257−0.0333|+|0.2584−0.0670|)/3=(0.2641+0.0924+0.1914)/3 = 0.1826；|E_组−I_组|=|0.3492−0.3098| = 0.0394 → BI = 0.1826−0.0394 = +0.143。含义：三市各自的“教育—产业缺口（|E−I|）”平均有多大，组团后区域缺口缩到多小；BI 越大 = 三市供需越互补、组团后越均衡。BI 是协同互补的主指标。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7.2  边界约束组合的检验结果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对每个边界组合，在其同规模的全部随机组合（安慰剂参照）中看 D_S/RSP/BI 的分位（同规模比较，避免组合大小不可比）。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边界组合</w:t>
            </w:r>
          </w:p>
        </w:tc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规模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D_S（分位）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RSP（分位）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BI（分位）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协同类型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福州—厦门（跨核互补）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28/36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水平+互补双第一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厦漳泉（都市圈）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49/84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53/84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6/84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互补型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福州都市圈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17/84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32/84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闽东北协同区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31/126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77/126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闽西南协同区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97/126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105/126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30/126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大区·被稀释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1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  厦漳泉在 84 组三市组合（同规模安慰剂分布）中的均衡改善度（BI）排位（B口径，2024）。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三种协同类型浮现，且与双核分工（§7.3）吻合：①福州—厦门“跨核互补”——D_S、BI 在两市组合中均列第 1，双核镜像的结构互补最强（但非地理邻接，故定位为理论互补对照而非都市圈）；②厦漳泉“互补型都市圈”——BI 前 7%，厦门产业领先 + 泉漳教育/承接相对偏强，并区后供需缺口显著缩小；③福州都市圈、闽东北“带动型”——RSP 居同规模前 2–5%，由福州（带动极）高水平拉动周边腹地，但 BI 中低、互补不强；④闽西南大区因纳入龙岩、三明等低水平市被稀释，D_S 仅居后段。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结论边界（重要）：以上为探索性信号，不证明因果协同。各组合分位是“相对同规模随机参照”的位置；BI 高位组合普遍含厦门（厦门=均衡极）、RSP 高位普遍含福州（福州=带动极）。区域协同的因果机制仍需跨市人才流动、企业合作与产业链数据进一步验证。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7.3  安慰剂分布的结构结论（全样本一般规律）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作为安慰剂参照的全部随机组合，其分布结构本身亦提供一般规律。把全部 84 组（三市）按“是否含核心市（福/厦）”“是否跨极（同时含教育领先与产业领先城市）”分组，对组内各组合的指标取“均值”——即该类所有组合的 D_组（或 BI、RSP）的算术平均，反映这一类组合的整体表现。两张对照表导出四条一般结论。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D_组均值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含核心市(福/厦)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0.185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纯腹地(无核心)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35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0.292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0.036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结论1（核心主导·腹地难自我协同）：含核心组合 D_组均值 0.696 是纯腹地 0.292 的 2.4 倍；纯腹地 BI 均值≈0，即腹地市彼此组团几乎不产生均衡改善（纯腹地最高 D_组仅 0.352、仍失调）。这为“腹地弱联动”提供反事实证据——“低+低”在结构上既到不了协调、也无互补空间；腹地需接入核心，而非抱团取暖。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46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46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跨极(含教育领先+产业领先)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+0.042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0.122</w:t>
            </w:r>
          </w:p>
        </w:tc>
      </w:tr>
      <w:tr>
        <w:tc>
          <w:tcPr>
            <w:tcW w:type="dxa" w:w="46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不跨极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24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−0.033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结论2（镜像即引擎）：跨极组合 BI 均值为正(+0.042)、不跨极为负(−0.033，组团后反而更不均衡)——均衡改善来自“跨越教育领先↔产业领先”的配对，福州/厦门镜像不只是描述，而是区域协同的物理引擎。两类 RSP 几乎相同(0.122 vs 0.125) → RSP 不区分互补、BI 才区分。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结论3（三指标各测一事）：D_组测“水平”（Top5 全含福厦）、RSP 测“带动幅度”（Top5 全含福州、本质强配弱、部分机械）、BI 测“互补均衡”（Top5 多含厦门）。故协同互补以 BI 为准、RSP 仅作辅。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结论4（双核分工）：进 RSP 前 10 的组合 100% 含福州（福州 D 最高、带动区域水平）→ 福州是“带动极”；进 BI 前 10 的组合 100% 含厦门（厦门极端产业领先、补教育领先伙伴的产业短板）→ 厦门是“均衡极”。两核在空间协同中角色不同：福州以高水平带动、厦门以反向结构均衡。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八、稳健性与局限</w:t>
      </w:r>
    </w:p>
    <w:p>
      <w:pPr>
        <w:spacing w:before="40" w:after="6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权重稳健性见 §5.5（等权 vs 熵值法）。此处再给耦合度形式稳健性：主模型用规范二元耦合度（√式，廖重斌1999/王淑佳等2021）；另以 ε 下限（min-max 映射至 [0.01,1]，缓解零值地板）与平方式耦合度（4EI/(E+I)²，张等2025）重算2024 年整体 D。结果（下表）：双核（福州、厦门）在三种形式下均稳居前 2，9 市排名与主模型的 Spearman 秩相关均达 0.983，双核—腹地格局对耦合度形式选择稳健。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主模型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ε下限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平方式C D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0.248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0.095</w:t>
            </w:r>
          </w:p>
        </w:tc>
      </w:tr>
    </w:tbl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局限：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九、理论依据与参考文献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方法的理论依据与出处对应如下（仅列已核实文献；属本文扩展者明示，不附他引）：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整体与局部耦合协调度：方法奠基见 [1]，规范公式与“四类误区”修正见 [2]；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功能链链节两两 CCD（局部 CCD）：子系统两两 CCD 的先例见 [3]；本文将其应用于四环节功能链链节诊断，为本文扩展；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边界约束的区域组合检验：边界先于组合（任意聚合不可比）的依据为 MAUP [4]，空间连续性约束的区域化思想见 [5]；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本文扩展（不附他引）：四环节功能链构造、链节两两断裂诊断、边界约束穷举置换检验（含 RSP/BI 指标）三项为本文方法贡献；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待补：障碍度模型、功能城市区（FUA）、置换检验为通用方法，具体引文后续核实补入，本稿暂不强引。</w:t>
      </w:r>
    </w:p>
    <w:p>
      <w:pPr>
        <w:spacing w:before="12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参考文献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[1] 廖重斌. 环境与经济协调发展的定量评判及其分类体系——以珠江三角洲城市群为例[J]. 热带地理, 1999, 19(2): 171-177.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[2] 王淑佳, 孔伟, 任亮, 等. 国内耦合协调度模型的误区及修正[J]. 自然资源学报, 2021, 36(3): 793-810.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[3] Zhang M, Hu Y, Mao Y, et al. 经济—社会—基础设施—生态韧性系统的耦合协调研究：以浙江省为例[J]. PLOS ONE, 2025. doi:10.1371/journal.pone.0323673.（题名以原文为准）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[4] Openshaw S. The Modifiable Areal Unit Problem[M]. Norwich: GeoBooks, 1984.（Concepts and Techniques in Modern Geography, No.38）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[5] Assunção R M, Neves M C, Câmara G, et al. Efficient regionalization techniques for socio-economic geographical units using minimum spanning trees[J]. International Journal of Geographical Information Science, 2006, 20(7): 797-811.</w:t>
      </w:r>
    </w:p>
    <w:p>
      <w:pPr>
        <w:spacing w:before="200" w:after="80" w:line="348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（初稿 · 2026-06-24 · 数值取自管道实跑结果 latest_functional_chain_ccd_results.csv，随面板更新与口径冻结迭代；参考文献仅列已核实条目，余者标“待补”。）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