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B1F33"/>
          <w:sz w:val="40"/>
        </w:rPr>
        <w:t>福建省AI教育—产业—金融三系统</w:t>
        <w:br/>
        <w:t>基于功能链的对应指标口径设计</w:t>
      </w:r>
    </w:p>
    <w:p>
      <w:pPr>
        <w:jc w:val="center"/>
      </w:pPr>
      <w:r>
        <w:rPr>
          <w:rFonts w:ascii="Noto Sans CJK SC" w:hAnsi="Noto Sans CJK SC" w:eastAsia="Noto Sans CJK SC"/>
          <w:color w:val="1F4E79"/>
          <w:sz w:val="26"/>
        </w:rPr>
        <w:t>含保守、基本、扩大三种口径及理论支持文献</w:t>
      </w:r>
    </w:p>
    <w:p/>
    <w:p>
      <w:r>
        <w:rPr>
          <w:rFonts w:ascii="Noto Sans CJK SC" w:hAnsi="Noto Sans CJK SC" w:eastAsia="Noto Sans CJK SC"/>
          <w:b w:val="0"/>
          <w:sz w:val="21"/>
        </w:rPr>
        <w:t>文件用途：用于课题论文（教育—产业双系统）与毕业论文（教育—产业—金融三系统）的指标设计、口径检验、数据收集和论文写作。</w:t>
      </w:r>
    </w:p>
    <w:p>
      <w:r>
        <w:rPr>
          <w:rFonts w:ascii="Noto Sans CJK SC" w:hAnsi="Noto Sans CJK SC" w:eastAsia="Noto Sans CJK SC"/>
          <w:b w:val="0"/>
          <w:sz w:val="21"/>
        </w:rPr>
        <w:t>核心思想：不再把教育、产业和金融简单视为静态并列系统，而是放入AI功能链中，识别人才供给、产业吸收、技术转化、高质量协同和资本回流中的具体堵点。</w:t>
      </w:r>
    </w:p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r>
        <w:rPr>
          <w:rFonts w:ascii="Noto Sans CJK SC" w:hAnsi="Noto Sans CJK SC" w:eastAsia="Noto Sans CJK SC"/>
          <w:b w:val="0"/>
          <w:sz w:val="21"/>
        </w:rPr>
        <w:t>一、总体设计逻辑</w:t>
      </w:r>
    </w:p>
    <w:p>
      <w:r>
        <w:rPr>
          <w:rFonts w:ascii="Noto Sans CJK SC" w:hAnsi="Noto Sans CJK SC" w:eastAsia="Noto Sans CJK SC"/>
          <w:b w:val="0"/>
          <w:sz w:val="21"/>
        </w:rPr>
        <w:t>二、功能链五层结构</w:t>
      </w:r>
    </w:p>
    <w:p>
      <w:r>
        <w:rPr>
          <w:rFonts w:ascii="Noto Sans CJK SC" w:hAnsi="Noto Sans CJK SC" w:eastAsia="Noto Sans CJK SC"/>
          <w:b w:val="0"/>
          <w:sz w:val="21"/>
        </w:rPr>
        <w:t>三、保守口径：狭义AI识别</w:t>
      </w:r>
    </w:p>
    <w:p>
      <w:r>
        <w:rPr>
          <w:rFonts w:ascii="Noto Sans CJK SC" w:hAnsi="Noto Sans CJK SC" w:eastAsia="Noto Sans CJK SC"/>
          <w:b w:val="0"/>
          <w:sz w:val="21"/>
        </w:rPr>
        <w:t>四、基本口径：主模型口径</w:t>
      </w:r>
    </w:p>
    <w:p>
      <w:r>
        <w:rPr>
          <w:rFonts w:ascii="Noto Sans CJK SC" w:hAnsi="Noto Sans CJK SC" w:eastAsia="Noto Sans CJK SC"/>
          <w:b w:val="0"/>
          <w:sz w:val="21"/>
        </w:rPr>
        <w:t>五、扩大口径：广义数字智能生态</w:t>
      </w:r>
    </w:p>
    <w:p>
      <w:r>
        <w:rPr>
          <w:rFonts w:ascii="Noto Sans CJK SC" w:hAnsi="Noto Sans CJK SC" w:eastAsia="Noto Sans CJK SC"/>
          <w:b w:val="0"/>
          <w:sz w:val="21"/>
        </w:rPr>
        <w:t>六、模型与口径检验</w:t>
      </w:r>
    </w:p>
    <w:p>
      <w:r>
        <w:rPr>
          <w:rFonts w:ascii="Noto Sans CJK SC" w:hAnsi="Noto Sans CJK SC" w:eastAsia="Noto Sans CJK SC"/>
          <w:b w:val="0"/>
          <w:sz w:val="21"/>
        </w:rPr>
        <w:t>七、理论支持文献及其对本研究的作用</w:t>
      </w:r>
    </w:p>
    <w:p>
      <w:r>
        <w:rPr>
          <w:rFonts w:ascii="Noto Sans CJK SC" w:hAnsi="Noto Sans CJK SC" w:eastAsia="Noto Sans CJK SC"/>
          <w:b w:val="0"/>
          <w:sz w:val="21"/>
        </w:rPr>
        <w:t>八、数据收集优先级</w:t>
      </w:r>
    </w:p>
    <w:p>
      <w:r>
        <w:rPr>
          <w:rFonts w:ascii="Noto Sans CJK SC" w:hAnsi="Noto Sans CJK SC" w:eastAsia="Noto Sans CJK SC"/>
          <w:b w:val="0"/>
          <w:sz w:val="21"/>
        </w:rPr>
        <w:t>九、论文中可直接使用的表述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一、总体设计逻辑</w:t>
      </w:r>
    </w:p>
    <w:p>
      <w:r>
        <w:rPr>
          <w:rFonts w:ascii="Noto Sans CJK SC" w:hAnsi="Noto Sans CJK SC" w:eastAsia="Noto Sans CJK SC"/>
          <w:b w:val="0"/>
          <w:sz w:val="21"/>
        </w:rPr>
        <w:t>本文依据“AI教育供给 → AI人才与知识产出 → AI产业吸收 → 技术转化与产业承接 → 科技金融支持 → 资本回流与再投入”的功能链设计三系统指标。</w:t>
      </w:r>
    </w:p>
    <w:p>
      <w:r>
        <w:rPr>
          <w:rFonts w:ascii="Noto Sans CJK SC" w:hAnsi="Noto Sans CJK SC" w:eastAsia="Noto Sans CJK SC"/>
          <w:b w:val="0"/>
          <w:sz w:val="21"/>
        </w:rPr>
        <w:t>三种口径的设置目的如下：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使用位置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判断逻辑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保守口径 C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精准识别狭义AI活动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稳健性检验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如果严格定义AI，结论是否仍成立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基本口径 B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准确性与数据可得性平衡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主模型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最适合作为论文主结果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扩大口径 X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放宽到数字智能生态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稳健性检验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检验结论是否依赖过窄AI边界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二、功能链五层结构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功能链层级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功能含义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教育系统E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产业系统I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金融系统F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基础材料层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AI人才供给与人才需求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AI招生人数、AI人才培养规模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AI岗位需求数量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一般不设置核心金融指标，作为后端支持条件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加工平台层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教育培养平台与产业承接平台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AI专业、AI高校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AI企业数量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科技贷款支持企业研发与成长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技术转化层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高校知识产出与企业技术转化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高校AI论文、AI专利、AI实验室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企业AI专利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知识产权质押融资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高质量协同层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产教融合与高质量产业主体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AI产业学院、产教融合平台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AI高新技术企业、专精特新企业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创投、政府引导基金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资本回流层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金融资源再投入与循环强化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平台共建、产教融合再投入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企业研发再投入、企业成长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科技金融支持强度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sz w:val="21"/>
        </w:rPr>
        <w:t>说明：金融系统不直接生产AI人才，也不直接形成AI企业，因此不需要在基础材料层强行设置核心指标。金融系统主要从技术转化层、高质量协同层和资本回流层发挥作用。</w:t>
      </w:r>
    </w:p>
    <w:p>
      <w:pPr>
        <w:pStyle w:val="Heading1"/>
      </w:pPr>
      <w:r>
        <w:rPr>
          <w:rFonts w:ascii="Noto Sans CJK SC" w:hAnsi="Noto Sans CJK SC" w:eastAsia="Noto Sans CJK SC"/>
        </w:rPr>
        <w:t>三、保守口径：狭义AI识别</w:t>
      </w:r>
    </w:p>
    <w:p>
      <w:r>
        <w:rPr>
          <w:rFonts w:ascii="Noto Sans CJK SC" w:hAnsi="Noto Sans CJK SC" w:eastAsia="Noto Sans CJK SC"/>
          <w:b w:val="0"/>
          <w:sz w:val="21"/>
        </w:rPr>
        <w:t>保守口径只纳入明确属于人工智能或AI的指标，适合检验主结论是否在严格AI定义下仍然成立。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功能链层级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教育系统 E_C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产业系统 I_C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金融系统 F_C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数据难度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基础材料层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人工智能专业招生人数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狭义AI岗位数量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暂不设置核心金融指标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较难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严格AI人才供需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加工平台层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人工智能专业数量；开设人工智能专业高校数量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明确AI企业数量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AI企业科技贷款余额或笔数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企业和贷款需精准匹配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技术转化层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高校人工智能论文；高校人工智能专利；人工智能实验室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企业AI专利数量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AI企业知识产权质押融资金额或项目数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精准但工作量较大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高质量协同层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人工智能学院、人工智能产业学院、人工智能研究院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AI高新技术企业数量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AI企业创投事件数或金额；AI相关政府基金项目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适合高精度稳健性检验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资本回流层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AI平台共建或再投入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AI企业研发再投入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直接支持AI企业的金融资源强度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很难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毕业论文拓展，不强求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sz w:val="21"/>
        </w:rPr>
        <w:t>关键词建议：教育端使用“人工智能、AI、人工智能学院、人工智能研究院、人工智能实验室”；产业端使用“人工智能、AI、机器学习、深度学习、NLP、计算机视觉、智能算法、智能识别”；金融端优先使用AI企业名单匹配法。</w:t>
      </w:r>
    </w:p>
    <w:p>
      <w:pPr>
        <w:pStyle w:val="Heading1"/>
      </w:pPr>
      <w:r>
        <w:rPr>
          <w:rFonts w:ascii="Noto Sans CJK SC" w:hAnsi="Noto Sans CJK SC" w:eastAsia="Noto Sans CJK SC"/>
        </w:rPr>
        <w:t>四、基本口径：主模型口径</w:t>
      </w:r>
    </w:p>
    <w:p>
      <w:r>
        <w:rPr>
          <w:rFonts w:ascii="Noto Sans CJK SC" w:hAnsi="Noto Sans CJK SC" w:eastAsia="Noto Sans CJK SC"/>
          <w:b w:val="0"/>
          <w:sz w:val="21"/>
        </w:rPr>
        <w:t>基本口径在识别准确性和数据可得性之间取得平衡，建议作为课题论文和毕业论文的主模型口径。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功能链层级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教育系统 E_B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产业系统 I_B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金融系统 F_B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数据难度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基础材料层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AI核心专业群招生计划人数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AI相关岗位需求数量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暂不设置核心金融指标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较难但最有价值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招生人数对应岗位需求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加工平台层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AI核心专业群数量；开设AI核心专业群高校数量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AI相关企业数量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科技型企业贷款余额或贷款笔数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中等至中偏难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专业/高校对应企业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技术转化层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高校AI论文；高校AI专利；AI重点实验室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企业AI相关专利数量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知识产权质押融资金额或项目数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中偏难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知识生产—技术转化—金融化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高质量协同层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AI产业学院、现代产业学院、产教融合平台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AI相关高新技术企业数量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创投事件数或金额；政府引导基金项目数或规模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中偏难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产教协同、高质量企业和资本支持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资本回流层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产教融合再投入、平台共建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企业研发再投入、企业成长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科技金融支持综合指数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毕业论文拓展机制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sz w:val="21"/>
        </w:rPr>
        <w:t>AI核心专业群暂定包括：人工智能、智能科学与技术、数据科学与大数据技术、机器人工程、智能制造工程、智能感知工程、智能装备与系统。</w:t>
      </w:r>
    </w:p>
    <w:p>
      <w:r>
        <w:rPr>
          <w:rFonts w:ascii="Noto Sans CJK SC" w:hAnsi="Noto Sans CJK SC" w:eastAsia="Noto Sans CJK SC"/>
          <w:b w:val="0"/>
          <w:sz w:val="21"/>
        </w:rPr>
        <w:t>AI相关岗位可包括：AI算法工程师、机器学习工程师、深度学习工程师、计算机视觉工程师、自然语言处理工程师、NLP工程师、数据科学家、机器人工程师、机器人算法工程师、智能制造算法工程师、大模型工程师。</w:t>
      </w:r>
    </w:p>
    <w:p>
      <w:pPr>
        <w:pStyle w:val="Heading1"/>
      </w:pPr>
      <w:r>
        <w:rPr>
          <w:rFonts w:ascii="Noto Sans CJK SC" w:hAnsi="Noto Sans CJK SC" w:eastAsia="Noto Sans CJK SC"/>
        </w:rPr>
        <w:t>五、扩大口径：广义数字智能生态</w:t>
      </w:r>
    </w:p>
    <w:p>
      <w:r>
        <w:rPr>
          <w:rFonts w:ascii="Noto Sans CJK SC" w:hAnsi="Noto Sans CJK SC" w:eastAsia="Noto Sans CJK SC"/>
          <w:b w:val="0"/>
          <w:sz w:val="21"/>
        </w:rPr>
        <w:t>扩大口径将AI放入数字经济、智能制造和信息技术生态中，用于检验结论是否受AI边界设定影响。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功能链层级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教育系统 E_X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产业系统 I_X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金融系统 F_X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数据难度</w:t>
            </w:r>
          </w:p>
        </w:tc>
        <w:tc>
          <w:tcPr>
            <w:tcW w:type="dxa" w:w="166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基础材料层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数字技术相关专业招生人数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数字技术岗位需求数量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一般信贷供给能力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中等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广义数字人才供需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加工平台层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计算机、软件、大数据、物联网、电子信息、自动化等专业数量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软件、信息技术、大数据、云计算、物联网、智能制造企业数量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金融机构存贷款余额/GDP；企业贷款余额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易至中等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广义数字产业和金融环境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技术转化层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数字技术论文、专利、平台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数字技术、智能制造、物联网相关专利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财政科技支出；知识产权质押融资总额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中等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广义技术转化和政府资金支持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高质量协同层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数字经济产业学院、软件学院、智能制造学院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数字经济高企、软件信息高企、智能制造高企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数字普惠金融指数；上市公司数量；挂牌企业数量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中等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广义数字生态环境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资本回流层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广义数字化平台再投入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广义数字企业成长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一般金融与数字金融环境综合指数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中等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稳健性和扩展分析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六、模型与口径检验</w:t>
      </w:r>
    </w:p>
    <w:p>
      <w:r>
        <w:rPr>
          <w:rFonts w:ascii="Noto Sans CJK SC" w:hAnsi="Noto Sans CJK SC" w:eastAsia="Noto Sans CJK SC"/>
          <w:b w:val="0"/>
          <w:sz w:val="21"/>
        </w:rPr>
        <w:t>课题论文建议测算三套教育—产业协调度：D_EI_C = D(E_C, I_C)，D_EI_B = D(E_B, I_B)，D_EI_X = D(E_X, I_X)。主结论以基本口径为准，保守和扩大口径用于稳健性检验。</w:t>
      </w:r>
    </w:p>
    <w:p>
      <w:r>
        <w:rPr>
          <w:rFonts w:ascii="Noto Sans CJK SC" w:hAnsi="Noto Sans CJK SC" w:eastAsia="Noto Sans CJK SC"/>
          <w:b w:val="0"/>
          <w:sz w:val="21"/>
        </w:rPr>
        <w:t>毕业论文建议测算三套三系统协调度：D_EIF_C = D(E_C, I_C, F_C)，D_EIF_B = D(E_B, I_B, F_B)，D_EIF_X = D(E_X, I_X, F_X)。</w:t>
      </w:r>
    </w:p>
    <w:p>
      <w:r>
        <w:rPr>
          <w:rFonts w:ascii="Noto Sans CJK SC" w:hAnsi="Noto Sans CJK SC" w:eastAsia="Noto Sans CJK SC"/>
          <w:b w:val="0"/>
          <w:sz w:val="21"/>
        </w:rPr>
        <w:t>除整体协调度外，建议进一步测算层级协调度：D1为基础材料层协调度，D2为加工平台层协调度，D3为技术转化层协调度，D4为高质量协同层协调度。</w:t>
      </w:r>
    </w:p>
    <w:p>
      <w:r>
        <w:rPr>
          <w:rFonts w:ascii="Noto Sans CJK SC" w:hAnsi="Noto Sans CJK SC" w:eastAsia="Noto Sans CJK SC"/>
          <w:b w:val="0"/>
          <w:sz w:val="21"/>
        </w:rPr>
        <w:t>层级错配指数可写为：Mismatch_k = E_k - I_k。若大于0，表示教育端相对超前；若小于0，表示产业端相对超前。</w:t>
      </w:r>
    </w:p>
    <w:p>
      <w:pPr>
        <w:pStyle w:val="Heading1"/>
      </w:pPr>
      <w:r>
        <w:rPr>
          <w:rFonts w:ascii="Noto Sans CJK SC" w:hAnsi="Noto Sans CJK SC" w:eastAsia="Noto Sans CJK SC"/>
        </w:rPr>
        <w:t>七、理论支持文献及其对本研究的作用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文献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年份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核心理论/方法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对本文的作用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对应功能链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Innovation ecosystems theory revisited: The case of artificial intelligence in China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2020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AI创新生态；Triple Helix；技能、知识、资金流动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支撑将AI教育、产业、金融视为区域AI创新生态系统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全链条；三系统互动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Coupling Coordinated Development among Digital Economy, Regional Innovation and Talent Employment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2023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城市面板；耦合协调度；人才就业与创新系统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支撑福建设区市面板和系统耦合方法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整体协调度和短板识别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Unpacking the innovation ecosystem construct: Evolution, gaps and trends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2018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创新生态系统构念；主体互动；价值创造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支撑从静态指标罗列转向功能链指标体系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平台、转化、协同层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Roles during innovation ecosystem genesis: A literature review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2018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创新生态系统生成；主体角色；功能分工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支撑高校、企业、平台、金融机构的角色分工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全链条角色定位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Innovation, entrepreneurial, knowledge, and business ecosystems: Old wine in new bottles?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2018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知识生态、创新生态、创业生态、商业生态区分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支撑教育/产业/金融三系统边界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教育=知识生态；金融=创业生态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The dynamics of entrepreneurial ecosystems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2018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创业生态动态；人才、资本、制度与企业成长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支撑科技金融作用于转化、协同和资本回流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金融系统F；资本回流层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Functions of Innovation Systems: A new approach for analysing technological change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2007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技术创新系统功能分析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基础理论：支撑按功能而非主体数量分析创新系统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知识发展、创业活动、资源动员、市场形成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八、数据收集优先级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所属系统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所属层级</w:t>
            </w:r>
          </w:p>
        </w:tc>
        <w:tc>
          <w:tcPr>
            <w:tcW w:type="dxa" w:w="199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第一优先级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AI核心专业群数量；开设AI核心专业群高校数量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加工平台层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教育系统骨架，较易获取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第一优先级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AI相关企业数量；AI相关高新技术企业数量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加工平台层/高质量协同层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产业承接主体和产业质量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第二优先级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AI核心专业招生计划人数；AI岗位需求数量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E/I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基础材料层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最能体现人才供需匹配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第二优先级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企业AI专利数量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技术转化层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衡量技术转化能力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第三优先级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AI产业学院、AI重点实验室、产教融合平台、高校AI论文/专利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技术转化/高质量协同层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增强机制解释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第四优先级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科技贷款、知识产权质押、创投、政府引导基金、数字普惠金融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金融后端层级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毕业论文金融系统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九、论文中可直接使用的表述</w:t>
      </w:r>
    </w:p>
    <w:p>
      <w:r>
        <w:rPr>
          <w:rFonts w:ascii="Noto Sans CJK SC" w:hAnsi="Noto Sans CJK SC" w:eastAsia="Noto Sans CJK SC"/>
          <w:b w:val="0"/>
          <w:sz w:val="21"/>
        </w:rPr>
        <w:t>本文基于AI人才—产业—资本功能链，将教育系统、产业系统和金融系统指标设计为递进式对应结构。教育系统衡量AI人才与知识供给能力，产业系统衡量AI人才吸收与技术转化能力，金融系统衡量科技金融支持与资本回流能力。在指标口径上，本文进一步区分保守口径、基本口径和扩大口径：保守口径用于识别狭义AI活动，基本口径用于主模型测算，扩大口径用于检验结果是否受AI边界设定影响。通过整体协调度、层级协调度和层级错配指数，本文能够识别福建省AI教育供给向产业承接转化过程中的关键堵点。</w:t>
      </w:r>
    </w:p>
    <w:p>
      <w:r>
        <w:rPr>
          <w:rFonts w:ascii="Noto Sans CJK SC" w:hAnsi="Noto Sans CJK SC" w:eastAsia="Noto Sans CJK SC"/>
          <w:b w:val="0"/>
          <w:sz w:val="21"/>
        </w:rPr>
        <w:t>注：具体文献链接、DOI和可访问地址已在配套Excel的“理论支持文献”工作表中列示。</w:t>
      </w:r>
    </w:p>
    <w:sectPr w:rsidR="00FC693F" w:rsidRPr="0006063C" w:rsidSect="00034616">
      <w:footerReference w:type="default" r:id="rId9"/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福建省AI教育—产业—金融功能链指标口径设计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